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25188" w14:textId="77777777" w:rsidR="00DC2362" w:rsidRPr="00CE7E12" w:rsidRDefault="00DC2362" w:rsidP="00DC2362">
      <w:pPr>
        <w:pStyle w:val="Heading1"/>
      </w:pPr>
      <w:r>
        <w:t xml:space="preserve">Appendix A: </w:t>
      </w:r>
      <w:r w:rsidRPr="00CE7E12">
        <w:t>Definitions</w:t>
      </w:r>
    </w:p>
    <w:p w14:paraId="73CEB43B" w14:textId="77777777" w:rsidR="00DC2362" w:rsidRPr="005F5624" w:rsidRDefault="00DC2362" w:rsidP="00DC2362">
      <w:pPr>
        <w:pStyle w:val="paragraph"/>
        <w:spacing w:before="0" w:beforeAutospacing="0" w:line="276" w:lineRule="auto"/>
        <w:rPr>
          <w:rFonts w:ascii="Segoe UI" w:eastAsiaTheme="majorEastAsia" w:hAnsi="Segoe UI" w:cs="Segoe UI"/>
          <w:sz w:val="22"/>
          <w:szCs w:val="22"/>
        </w:rPr>
      </w:pPr>
      <w:r w:rsidRPr="005F5624">
        <w:rPr>
          <w:rFonts w:ascii="Segoe UI" w:eastAsiaTheme="majorEastAsia" w:hAnsi="Segoe UI" w:cs="Segoe UI"/>
          <w:sz w:val="22"/>
          <w:szCs w:val="22"/>
        </w:rPr>
        <w:t xml:space="preserve">The </w:t>
      </w:r>
      <w:r>
        <w:rPr>
          <w:rFonts w:ascii="Segoe UI" w:eastAsiaTheme="majorEastAsia" w:hAnsi="Segoe UI" w:cs="Segoe UI"/>
          <w:sz w:val="22"/>
          <w:szCs w:val="22"/>
        </w:rPr>
        <w:t>following</w:t>
      </w:r>
      <w:r w:rsidRPr="005F5624">
        <w:rPr>
          <w:rFonts w:ascii="Segoe UI" w:eastAsiaTheme="majorEastAsia" w:hAnsi="Segoe UI" w:cs="Segoe UI"/>
          <w:sz w:val="22"/>
          <w:szCs w:val="22"/>
        </w:rPr>
        <w:t xml:space="preserve"> table provides definitions of terms used in the workforce survey and through this report.</w:t>
      </w:r>
    </w:p>
    <w:tbl>
      <w:tblPr>
        <w:tblW w:w="892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5"/>
        <w:gridCol w:w="6616"/>
      </w:tblGrid>
      <w:tr w:rsidR="00DC2362" w:rsidRPr="005F5624" w14:paraId="3C4C9D04" w14:textId="77777777" w:rsidTr="004C7267">
        <w:trPr>
          <w:trHeight w:val="300"/>
        </w:trPr>
        <w:tc>
          <w:tcPr>
            <w:tcW w:w="2305" w:type="dxa"/>
            <w:tcBorders>
              <w:top w:val="nil"/>
              <w:left w:val="nil"/>
              <w:bottom w:val="nil"/>
              <w:right w:val="nil"/>
            </w:tcBorders>
            <w:shd w:val="clear" w:color="auto" w:fill="172983"/>
            <w:hideMark/>
          </w:tcPr>
          <w:p w14:paraId="5BE535DD"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Term </w:t>
            </w:r>
          </w:p>
        </w:tc>
        <w:tc>
          <w:tcPr>
            <w:tcW w:w="6616" w:type="dxa"/>
            <w:tcBorders>
              <w:top w:val="nil"/>
              <w:left w:val="nil"/>
              <w:bottom w:val="nil"/>
              <w:right w:val="nil"/>
            </w:tcBorders>
            <w:shd w:val="clear" w:color="auto" w:fill="172983"/>
            <w:vAlign w:val="bottom"/>
            <w:hideMark/>
          </w:tcPr>
          <w:p w14:paraId="03505800"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Definition </w:t>
            </w:r>
          </w:p>
        </w:tc>
      </w:tr>
      <w:tr w:rsidR="00DC2362" w:rsidRPr="005F5624" w14:paraId="0225CBB5" w14:textId="77777777" w:rsidTr="004C7267">
        <w:trPr>
          <w:trHeight w:val="300"/>
        </w:trPr>
        <w:tc>
          <w:tcPr>
            <w:tcW w:w="2305" w:type="dxa"/>
            <w:tcBorders>
              <w:top w:val="nil"/>
              <w:left w:val="nil"/>
              <w:bottom w:val="nil"/>
              <w:right w:val="nil"/>
            </w:tcBorders>
            <w:shd w:val="clear" w:color="auto" w:fill="auto"/>
          </w:tcPr>
          <w:p w14:paraId="623071F4"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Bullying </w:t>
            </w:r>
          </w:p>
        </w:tc>
        <w:tc>
          <w:tcPr>
            <w:tcW w:w="6616" w:type="dxa"/>
            <w:tcBorders>
              <w:top w:val="nil"/>
              <w:left w:val="nil"/>
              <w:bottom w:val="nil"/>
              <w:right w:val="nil"/>
            </w:tcBorders>
            <w:shd w:val="clear" w:color="auto" w:fill="auto"/>
          </w:tcPr>
          <w:p w14:paraId="779083C4"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When someone repeatedly and unreasonably uses words or actions against someone else to cause them distress and harm – </w:t>
            </w:r>
            <w:r>
              <w:rPr>
                <w:rFonts w:ascii="Segoe UI" w:hAnsi="Segoe UI" w:cs="Segoe UI"/>
                <w:sz w:val="20"/>
                <w:szCs w:val="20"/>
              </w:rPr>
              <w:t xml:space="preserve">this </w:t>
            </w:r>
            <w:r w:rsidRPr="005F5624">
              <w:rPr>
                <w:rFonts w:ascii="Segoe UI" w:hAnsi="Segoe UI" w:cs="Segoe UI"/>
                <w:sz w:val="20"/>
                <w:szCs w:val="20"/>
              </w:rPr>
              <w:t xml:space="preserve">can constitute discrimination under the </w:t>
            </w:r>
            <w:r w:rsidRPr="00023E7D">
              <w:rPr>
                <w:rFonts w:ascii="Segoe UI" w:hAnsi="Segoe UI" w:cs="Segoe UI"/>
                <w:i/>
                <w:iCs/>
                <w:sz w:val="20"/>
                <w:szCs w:val="20"/>
              </w:rPr>
              <w:t>Equal Opportunity Act 2010</w:t>
            </w:r>
            <w:r w:rsidRPr="00340132">
              <w:rPr>
                <w:rFonts w:ascii="Segoe UI" w:hAnsi="Segoe UI" w:cs="Segoe UI"/>
                <w:sz w:val="20"/>
                <w:szCs w:val="20"/>
              </w:rPr>
              <w:t xml:space="preserve"> </w:t>
            </w:r>
            <w:r w:rsidRPr="005F5624">
              <w:rPr>
                <w:rFonts w:ascii="Segoe UI" w:hAnsi="Segoe UI" w:cs="Segoe UI"/>
                <w:sz w:val="20"/>
                <w:szCs w:val="20"/>
              </w:rPr>
              <w:t>(Vic) if it is directed at a person because of a protected attribute. Bullying can include verbal, physical or written abuse and when bullying is discrimination</w:t>
            </w:r>
            <w:r>
              <w:rPr>
                <w:rFonts w:ascii="Segoe UI" w:hAnsi="Segoe UI" w:cs="Segoe UI"/>
                <w:sz w:val="20"/>
                <w:szCs w:val="20"/>
              </w:rPr>
              <w:t>,</w:t>
            </w:r>
            <w:r w:rsidRPr="005F5624">
              <w:rPr>
                <w:rFonts w:ascii="Segoe UI" w:hAnsi="Segoe UI" w:cs="Segoe UI"/>
                <w:sz w:val="20"/>
                <w:szCs w:val="20"/>
              </w:rPr>
              <w:t xml:space="preserve"> the behaviour does not need to be repeated. </w:t>
            </w:r>
          </w:p>
          <w:p w14:paraId="7E1BE624"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Examples include (when related to a protected attribute): </w:t>
            </w:r>
          </w:p>
          <w:p w14:paraId="0F5901AC" w14:textId="77777777" w:rsidR="00DC2362" w:rsidRPr="005F5624" w:rsidRDefault="00DC2362" w:rsidP="00DC2362">
            <w:pPr>
              <w:pStyle w:val="ListParagraph"/>
              <w:numPr>
                <w:ilvl w:val="0"/>
                <w:numId w:val="8"/>
              </w:numPr>
              <w:spacing w:after="60" w:line="280" w:lineRule="atLeast"/>
              <w:rPr>
                <w:rFonts w:ascii="Segoe UI" w:hAnsi="Segoe UI" w:cs="Segoe UI"/>
                <w:sz w:val="20"/>
                <w:szCs w:val="20"/>
              </w:rPr>
            </w:pPr>
            <w:r w:rsidRPr="005F5624">
              <w:rPr>
                <w:rFonts w:ascii="Segoe UI" w:hAnsi="Segoe UI" w:cs="Segoe UI"/>
                <w:sz w:val="20"/>
                <w:szCs w:val="20"/>
              </w:rPr>
              <w:t>behaving aggressively towards others</w:t>
            </w:r>
          </w:p>
          <w:p w14:paraId="64A1CA12" w14:textId="77777777" w:rsidR="00DC2362" w:rsidRPr="005F5624" w:rsidRDefault="00DC2362" w:rsidP="00DC2362">
            <w:pPr>
              <w:pStyle w:val="ListParagraph"/>
              <w:numPr>
                <w:ilvl w:val="0"/>
                <w:numId w:val="8"/>
              </w:numPr>
              <w:spacing w:after="60" w:line="280" w:lineRule="atLeast"/>
              <w:rPr>
                <w:rFonts w:ascii="Segoe UI" w:hAnsi="Segoe UI" w:cs="Segoe UI"/>
                <w:sz w:val="20"/>
                <w:szCs w:val="20"/>
              </w:rPr>
            </w:pPr>
            <w:r w:rsidRPr="005F5624">
              <w:rPr>
                <w:rFonts w:ascii="Segoe UI" w:hAnsi="Segoe UI" w:cs="Segoe UI"/>
                <w:sz w:val="20"/>
                <w:szCs w:val="20"/>
              </w:rPr>
              <w:t>teasing or playing practical jokes</w:t>
            </w:r>
          </w:p>
          <w:p w14:paraId="2DD20349" w14:textId="77777777" w:rsidR="00DC2362" w:rsidRPr="005F5624" w:rsidRDefault="00DC2362" w:rsidP="00DC2362">
            <w:pPr>
              <w:pStyle w:val="ListParagraph"/>
              <w:numPr>
                <w:ilvl w:val="0"/>
                <w:numId w:val="8"/>
              </w:numPr>
              <w:spacing w:after="60" w:line="280" w:lineRule="atLeast"/>
              <w:rPr>
                <w:rFonts w:ascii="Segoe UI" w:hAnsi="Segoe UI" w:cs="Segoe UI"/>
                <w:sz w:val="20"/>
                <w:szCs w:val="20"/>
              </w:rPr>
            </w:pPr>
            <w:r w:rsidRPr="005F5624">
              <w:rPr>
                <w:rFonts w:ascii="Segoe UI" w:hAnsi="Segoe UI" w:cs="Segoe UI"/>
                <w:sz w:val="20"/>
                <w:szCs w:val="20"/>
              </w:rPr>
              <w:t>pressuring someone to behave inappropriately</w:t>
            </w:r>
          </w:p>
          <w:p w14:paraId="6CD4CCD3" w14:textId="77777777" w:rsidR="00DC2362" w:rsidRPr="005F5624" w:rsidRDefault="00DC2362" w:rsidP="00DC2362">
            <w:pPr>
              <w:pStyle w:val="ListParagraph"/>
              <w:numPr>
                <w:ilvl w:val="0"/>
                <w:numId w:val="8"/>
              </w:numPr>
              <w:spacing w:after="60" w:line="280" w:lineRule="atLeast"/>
              <w:rPr>
                <w:rFonts w:ascii="Segoe UI" w:hAnsi="Segoe UI" w:cs="Segoe UI"/>
                <w:sz w:val="20"/>
                <w:szCs w:val="20"/>
              </w:rPr>
            </w:pPr>
            <w:r w:rsidRPr="005F5624">
              <w:rPr>
                <w:rFonts w:ascii="Segoe UI" w:hAnsi="Segoe UI" w:cs="Segoe UI"/>
                <w:sz w:val="20"/>
                <w:szCs w:val="20"/>
              </w:rPr>
              <w:t>excluding someone from work-related events</w:t>
            </w:r>
          </w:p>
          <w:p w14:paraId="3AC2BB88" w14:textId="77777777" w:rsidR="00DC2362" w:rsidRPr="005F5624" w:rsidRDefault="00DC2362" w:rsidP="00DC2362">
            <w:pPr>
              <w:pStyle w:val="ListParagraph"/>
              <w:numPr>
                <w:ilvl w:val="0"/>
                <w:numId w:val="8"/>
              </w:numPr>
              <w:spacing w:after="60" w:line="280" w:lineRule="atLeast"/>
              <w:rPr>
                <w:rFonts w:ascii="Segoe UI" w:hAnsi="Segoe UI" w:cs="Segoe UI"/>
                <w:sz w:val="20"/>
                <w:szCs w:val="20"/>
              </w:rPr>
            </w:pPr>
            <w:r w:rsidRPr="005F5624">
              <w:rPr>
                <w:rFonts w:ascii="Segoe UI" w:hAnsi="Segoe UI" w:cs="Segoe UI"/>
                <w:sz w:val="20"/>
                <w:szCs w:val="20"/>
              </w:rPr>
              <w:t>unreasonable work demands</w:t>
            </w:r>
            <w:r>
              <w:rPr>
                <w:rFonts w:ascii="Segoe UI" w:hAnsi="Segoe UI" w:cs="Segoe UI"/>
                <w:sz w:val="20"/>
                <w:szCs w:val="20"/>
              </w:rPr>
              <w:t>.</w:t>
            </w:r>
          </w:p>
          <w:p w14:paraId="5BA11411"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Bullying that is unrelated to a protected attribute – for example</w:t>
            </w:r>
            <w:r>
              <w:rPr>
                <w:rFonts w:ascii="Segoe UI" w:hAnsi="Segoe UI" w:cs="Segoe UI"/>
                <w:sz w:val="20"/>
                <w:szCs w:val="20"/>
              </w:rPr>
              <w:t>,</w:t>
            </w:r>
            <w:r w:rsidRPr="005F5624">
              <w:rPr>
                <w:rFonts w:ascii="Segoe UI" w:hAnsi="Segoe UI" w:cs="Segoe UI"/>
                <w:sz w:val="20"/>
                <w:szCs w:val="20"/>
              </w:rPr>
              <w:t xml:space="preserve"> when one person bullies another because they do not like them – is not discriminatory. It is, however, a known source of workplace harm covered by the </w:t>
            </w:r>
            <w:r w:rsidRPr="009C629C">
              <w:rPr>
                <w:rFonts w:ascii="Segoe UI" w:hAnsi="Segoe UI" w:cs="Segoe UI"/>
                <w:i/>
                <w:iCs/>
                <w:sz w:val="20"/>
                <w:szCs w:val="20"/>
              </w:rPr>
              <w:t>Occupational Health and Safety Act 2004</w:t>
            </w:r>
            <w:r w:rsidRPr="00340132">
              <w:rPr>
                <w:rFonts w:ascii="Segoe UI" w:hAnsi="Segoe UI" w:cs="Segoe UI"/>
                <w:sz w:val="20"/>
                <w:szCs w:val="20"/>
              </w:rPr>
              <w:t xml:space="preserve"> </w:t>
            </w:r>
            <w:r w:rsidRPr="005F5624">
              <w:rPr>
                <w:rFonts w:ascii="Segoe UI" w:hAnsi="Segoe UI" w:cs="Segoe UI"/>
                <w:sz w:val="20"/>
                <w:szCs w:val="20"/>
              </w:rPr>
              <w:t xml:space="preserve">(Vic). It is also prohibited under the </w:t>
            </w:r>
            <w:r w:rsidRPr="009C629C">
              <w:rPr>
                <w:rFonts w:ascii="Segoe UI" w:hAnsi="Segoe UI" w:cs="Segoe UI"/>
                <w:i/>
                <w:iCs/>
                <w:sz w:val="20"/>
                <w:szCs w:val="20"/>
              </w:rPr>
              <w:t>Fair Work Act 2009</w:t>
            </w:r>
            <w:r w:rsidRPr="00340132">
              <w:rPr>
                <w:rFonts w:ascii="Segoe UI" w:hAnsi="Segoe UI" w:cs="Segoe UI"/>
                <w:sz w:val="20"/>
                <w:szCs w:val="20"/>
              </w:rPr>
              <w:t xml:space="preserve"> </w:t>
            </w:r>
            <w:r w:rsidRPr="005F5624">
              <w:rPr>
                <w:rFonts w:ascii="Segoe UI" w:hAnsi="Segoe UI" w:cs="Segoe UI"/>
                <w:sz w:val="20"/>
                <w:szCs w:val="20"/>
              </w:rPr>
              <w:t>(</w:t>
            </w:r>
            <w:proofErr w:type="spellStart"/>
            <w:r w:rsidRPr="005F5624">
              <w:rPr>
                <w:rFonts w:ascii="Segoe UI" w:hAnsi="Segoe UI" w:cs="Segoe UI"/>
                <w:sz w:val="20"/>
                <w:szCs w:val="20"/>
              </w:rPr>
              <w:t>Cth</w:t>
            </w:r>
            <w:proofErr w:type="spellEnd"/>
            <w:r w:rsidRPr="005F5624">
              <w:rPr>
                <w:rFonts w:ascii="Segoe UI" w:hAnsi="Segoe UI" w:cs="Segoe UI"/>
                <w:sz w:val="20"/>
                <w:szCs w:val="20"/>
              </w:rPr>
              <w:t xml:space="preserve">). Bullying under these Acts differs from bullying under the </w:t>
            </w:r>
            <w:r w:rsidRPr="00DE2C92">
              <w:rPr>
                <w:rFonts w:ascii="Segoe UI" w:hAnsi="Segoe UI" w:cs="Segoe UI"/>
                <w:sz w:val="20"/>
                <w:szCs w:val="20"/>
              </w:rPr>
              <w:t>Equal Opportunity Act</w:t>
            </w:r>
            <w:r w:rsidRPr="005F5624">
              <w:rPr>
                <w:rFonts w:ascii="Segoe UI" w:hAnsi="Segoe UI" w:cs="Segoe UI"/>
                <w:sz w:val="20"/>
                <w:szCs w:val="20"/>
              </w:rPr>
              <w:t xml:space="preserve"> in that there must be repeated unreasonable behaviour directed at an employee or group of employees that creates a risk to health and safety.</w:t>
            </w:r>
          </w:p>
          <w:p w14:paraId="4D8BAAD7"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Bullying can also amount to sexual harassment under the </w:t>
            </w:r>
            <w:r w:rsidRPr="00251B9E">
              <w:rPr>
                <w:rFonts w:ascii="Segoe UI" w:hAnsi="Segoe UI" w:cs="Segoe UI"/>
                <w:sz w:val="20"/>
                <w:szCs w:val="20"/>
              </w:rPr>
              <w:t>Equal Opportunity Act</w:t>
            </w:r>
            <w:r w:rsidRPr="00340132">
              <w:rPr>
                <w:rFonts w:ascii="Segoe UI" w:hAnsi="Segoe UI" w:cs="Segoe UI"/>
                <w:sz w:val="20"/>
                <w:szCs w:val="20"/>
              </w:rPr>
              <w:t xml:space="preserve"> </w:t>
            </w:r>
            <w:r w:rsidRPr="005F5624">
              <w:rPr>
                <w:rFonts w:ascii="Segoe UI" w:hAnsi="Segoe UI" w:cs="Segoe UI"/>
                <w:sz w:val="20"/>
                <w:szCs w:val="20"/>
              </w:rPr>
              <w:t>if it is verbal, written or physical abuse of a sexual nature which could reasonably be expected to make the other person feel offended, humiliated or intimidated.</w:t>
            </w:r>
          </w:p>
        </w:tc>
      </w:tr>
      <w:tr w:rsidR="00DC2362" w:rsidRPr="005F5624" w14:paraId="0C2B1007" w14:textId="77777777" w:rsidTr="004C7267">
        <w:trPr>
          <w:trHeight w:val="300"/>
        </w:trPr>
        <w:tc>
          <w:tcPr>
            <w:tcW w:w="2305" w:type="dxa"/>
            <w:tcBorders>
              <w:top w:val="nil"/>
              <w:left w:val="nil"/>
              <w:bottom w:val="nil"/>
              <w:right w:val="nil"/>
            </w:tcBorders>
            <w:shd w:val="clear" w:color="auto" w:fill="auto"/>
          </w:tcPr>
          <w:p w14:paraId="7F048ACF"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Disability </w:t>
            </w:r>
          </w:p>
        </w:tc>
        <w:tc>
          <w:tcPr>
            <w:tcW w:w="6616" w:type="dxa"/>
            <w:tcBorders>
              <w:top w:val="nil"/>
              <w:left w:val="nil"/>
              <w:bottom w:val="nil"/>
              <w:right w:val="nil"/>
            </w:tcBorders>
            <w:shd w:val="clear" w:color="auto" w:fill="auto"/>
          </w:tcPr>
          <w:p w14:paraId="6C4E1FE9"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Th</w:t>
            </w:r>
            <w:r>
              <w:rPr>
                <w:rFonts w:ascii="Segoe UI" w:hAnsi="Segoe UI" w:cs="Segoe UI"/>
                <w:sz w:val="20"/>
                <w:szCs w:val="20"/>
              </w:rPr>
              <w:t>is</w:t>
            </w:r>
            <w:r w:rsidRPr="005F5624">
              <w:rPr>
                <w:rFonts w:ascii="Segoe UI" w:hAnsi="Segoe UI" w:cs="Segoe UI"/>
                <w:sz w:val="20"/>
                <w:szCs w:val="20"/>
              </w:rPr>
              <w:t xml:space="preserve"> term broadly reflects any impairment (including physical, mental, intellectual, cognitive, learning, communication or sensory) or functional limitation (</w:t>
            </w:r>
            <w:proofErr w:type="gramStart"/>
            <w:r w:rsidRPr="005F5624">
              <w:rPr>
                <w:rFonts w:ascii="Segoe UI" w:hAnsi="Segoe UI" w:cs="Segoe UI"/>
                <w:sz w:val="20"/>
                <w:szCs w:val="20"/>
              </w:rPr>
              <w:t>whether or not</w:t>
            </w:r>
            <w:proofErr w:type="gramEnd"/>
            <w:r w:rsidRPr="005F5624">
              <w:rPr>
                <w:rFonts w:ascii="Segoe UI" w:hAnsi="Segoe UI" w:cs="Segoe UI"/>
                <w:sz w:val="20"/>
                <w:szCs w:val="20"/>
              </w:rPr>
              <w:t xml:space="preserve"> the impairment or limitation is permanent, temporary, episodic in nature or evident) that, in interaction with a barrier, hinders a person's full and equal participation.</w:t>
            </w:r>
          </w:p>
        </w:tc>
      </w:tr>
      <w:tr w:rsidR="00DC2362" w:rsidRPr="005F5624" w14:paraId="1D2B57DF" w14:textId="77777777" w:rsidTr="004C7267">
        <w:trPr>
          <w:trHeight w:val="300"/>
        </w:trPr>
        <w:tc>
          <w:tcPr>
            <w:tcW w:w="2305" w:type="dxa"/>
            <w:tcBorders>
              <w:top w:val="nil"/>
              <w:left w:val="nil"/>
              <w:bottom w:val="nil"/>
              <w:right w:val="nil"/>
            </w:tcBorders>
            <w:shd w:val="clear" w:color="auto" w:fill="auto"/>
          </w:tcPr>
          <w:p w14:paraId="6B12A30C"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Discrimination </w:t>
            </w:r>
          </w:p>
        </w:tc>
        <w:tc>
          <w:tcPr>
            <w:tcW w:w="6616" w:type="dxa"/>
            <w:tcBorders>
              <w:top w:val="nil"/>
              <w:left w:val="nil"/>
              <w:bottom w:val="nil"/>
              <w:right w:val="nil"/>
            </w:tcBorders>
            <w:shd w:val="clear" w:color="auto" w:fill="auto"/>
          </w:tcPr>
          <w:p w14:paraId="450600A4" w14:textId="77777777" w:rsidR="00DC2362" w:rsidRPr="005F5624" w:rsidRDefault="00DC2362" w:rsidP="004C7267">
            <w:pPr>
              <w:rPr>
                <w:rFonts w:ascii="Segoe UI" w:hAnsi="Segoe UI" w:cs="Segoe UI"/>
                <w:sz w:val="20"/>
                <w:szCs w:val="20"/>
              </w:rPr>
            </w:pPr>
            <w:r>
              <w:rPr>
                <w:rFonts w:ascii="Segoe UI" w:hAnsi="Segoe UI" w:cs="Segoe UI"/>
                <w:sz w:val="20"/>
                <w:szCs w:val="20"/>
              </w:rPr>
              <w:t>This</w:t>
            </w:r>
            <w:r w:rsidRPr="005F5624">
              <w:rPr>
                <w:rFonts w:ascii="Segoe UI" w:hAnsi="Segoe UI" w:cs="Segoe UI"/>
                <w:sz w:val="20"/>
                <w:szCs w:val="20"/>
              </w:rPr>
              <w:t xml:space="preserve"> is unfavourable treatment based on a protected attribute (or a characteristic that a person with that attribute generally has) in an area of public life. All attributes protected under the </w:t>
            </w:r>
            <w:r w:rsidRPr="000248F2">
              <w:rPr>
                <w:rFonts w:ascii="Segoe UI" w:hAnsi="Segoe UI" w:cs="Segoe UI"/>
                <w:i/>
                <w:iCs/>
                <w:sz w:val="20"/>
                <w:szCs w:val="20"/>
              </w:rPr>
              <w:t>Equal Opportunity Act 2010</w:t>
            </w:r>
            <w:r w:rsidRPr="00340132">
              <w:rPr>
                <w:rFonts w:ascii="Segoe UI" w:hAnsi="Segoe UI" w:cs="Segoe UI"/>
                <w:sz w:val="20"/>
                <w:szCs w:val="20"/>
              </w:rPr>
              <w:t xml:space="preserve"> </w:t>
            </w:r>
            <w:r w:rsidRPr="005F5624">
              <w:rPr>
                <w:rFonts w:ascii="Segoe UI" w:hAnsi="Segoe UI" w:cs="Segoe UI"/>
                <w:sz w:val="20"/>
                <w:szCs w:val="20"/>
              </w:rPr>
              <w:t xml:space="preserve">(Vic) (for example, race, disability, sex, age) were directly within the scope of the Phase 1 </w:t>
            </w:r>
            <w:r>
              <w:rPr>
                <w:rFonts w:ascii="Segoe UI" w:hAnsi="Segoe UI" w:cs="Segoe UI"/>
                <w:sz w:val="20"/>
                <w:szCs w:val="20"/>
              </w:rPr>
              <w:t>R</w:t>
            </w:r>
            <w:r w:rsidRPr="005F5624">
              <w:rPr>
                <w:rFonts w:ascii="Segoe UI" w:hAnsi="Segoe UI" w:cs="Segoe UI"/>
                <w:sz w:val="20"/>
                <w:szCs w:val="20"/>
              </w:rPr>
              <w:t xml:space="preserve">eview. </w:t>
            </w:r>
          </w:p>
          <w:p w14:paraId="12536208"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The </w:t>
            </w:r>
            <w:r w:rsidRPr="00251B9E">
              <w:rPr>
                <w:rFonts w:ascii="Segoe UI" w:hAnsi="Segoe UI" w:cs="Segoe UI"/>
                <w:sz w:val="20"/>
                <w:szCs w:val="20"/>
              </w:rPr>
              <w:t>Equal Opportunity Act</w:t>
            </w:r>
            <w:r w:rsidRPr="005F5624">
              <w:rPr>
                <w:rFonts w:ascii="Segoe UI" w:hAnsi="Segoe UI" w:cs="Segoe UI"/>
                <w:sz w:val="20"/>
                <w:szCs w:val="20"/>
              </w:rPr>
              <w:t xml:space="preserve"> prohibits both direct and indirect discrimination. </w:t>
            </w:r>
          </w:p>
          <w:p w14:paraId="23E48734"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lastRenderedPageBreak/>
              <w:t xml:space="preserve">Direct discrimination occurs when a person treats another person unfavourably because of a protected attribute. Examples include where an employer decides not to hire an applicant based on their sexual orientation or denies a woman a promotion because of her actual or perceived caring responsibilities. </w:t>
            </w:r>
          </w:p>
          <w:p w14:paraId="11239582"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Indirect discrimination recognises that treating all people the same, regardless of their differences, may unfairly disadvantage some people. Indirect discrimination occurs when an unreasonable requirement, condition or practice is imposed that has, or is likely to have, the effect of disadvantaging people because of a protected attribute. Examples include workplace policies that fail to consider the needs of older workers, especially as they transition to retirement, or the construction of buildings that fail to provide safe and private spaces for employees to breastfeed or pray.</w:t>
            </w:r>
          </w:p>
        </w:tc>
      </w:tr>
      <w:tr w:rsidR="00DC2362" w:rsidRPr="005F5624" w14:paraId="47249038" w14:textId="77777777" w:rsidTr="004C7267">
        <w:trPr>
          <w:trHeight w:val="300"/>
        </w:trPr>
        <w:tc>
          <w:tcPr>
            <w:tcW w:w="2305" w:type="dxa"/>
            <w:tcBorders>
              <w:top w:val="nil"/>
              <w:left w:val="nil"/>
              <w:bottom w:val="nil"/>
              <w:right w:val="nil"/>
            </w:tcBorders>
            <w:shd w:val="clear" w:color="auto" w:fill="auto"/>
          </w:tcPr>
          <w:p w14:paraId="22D6CFF8"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lastRenderedPageBreak/>
              <w:t xml:space="preserve">Employee </w:t>
            </w:r>
          </w:p>
        </w:tc>
        <w:tc>
          <w:tcPr>
            <w:tcW w:w="6616" w:type="dxa"/>
            <w:tcBorders>
              <w:top w:val="nil"/>
              <w:left w:val="nil"/>
              <w:bottom w:val="nil"/>
              <w:right w:val="nil"/>
            </w:tcBorders>
            <w:shd w:val="clear" w:color="auto" w:fill="auto"/>
          </w:tcPr>
          <w:p w14:paraId="25F51B49"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This term is used in its broadest sense to cover all permanent, fixed-term and casual employees, as well as contractors, temps and people on </w:t>
            </w:r>
            <w:proofErr w:type="spellStart"/>
            <w:r w:rsidRPr="005F5624">
              <w:rPr>
                <w:rFonts w:ascii="Segoe UI" w:hAnsi="Segoe UI" w:cs="Segoe UI"/>
                <w:sz w:val="20"/>
                <w:szCs w:val="20"/>
              </w:rPr>
              <w:t>WorkCover</w:t>
            </w:r>
            <w:proofErr w:type="spellEnd"/>
            <w:r w:rsidRPr="005F5624">
              <w:rPr>
                <w:rFonts w:ascii="Segoe UI" w:hAnsi="Segoe UI" w:cs="Segoe UI"/>
                <w:sz w:val="20"/>
                <w:szCs w:val="20"/>
              </w:rPr>
              <w:t>.</w:t>
            </w:r>
          </w:p>
        </w:tc>
      </w:tr>
      <w:tr w:rsidR="00DC2362" w:rsidRPr="005F5624" w14:paraId="7629E1A8" w14:textId="77777777" w:rsidTr="004C7267">
        <w:trPr>
          <w:trHeight w:val="300"/>
        </w:trPr>
        <w:tc>
          <w:tcPr>
            <w:tcW w:w="2305" w:type="dxa"/>
            <w:tcBorders>
              <w:top w:val="nil"/>
              <w:left w:val="nil"/>
              <w:bottom w:val="nil"/>
              <w:right w:val="nil"/>
            </w:tcBorders>
            <w:shd w:val="clear" w:color="auto" w:fill="auto"/>
          </w:tcPr>
          <w:p w14:paraId="60BD7FDF"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First responder </w:t>
            </w:r>
          </w:p>
        </w:tc>
        <w:tc>
          <w:tcPr>
            <w:tcW w:w="6616" w:type="dxa"/>
            <w:tcBorders>
              <w:top w:val="nil"/>
              <w:left w:val="nil"/>
              <w:bottom w:val="nil"/>
              <w:right w:val="nil"/>
            </w:tcBorders>
            <w:shd w:val="clear" w:color="auto" w:fill="auto"/>
          </w:tcPr>
          <w:p w14:paraId="60DF6B72" w14:textId="77777777" w:rsidR="00DC2362" w:rsidRPr="005F5624" w:rsidRDefault="00DC2362" w:rsidP="004C7267">
            <w:pPr>
              <w:rPr>
                <w:rFonts w:ascii="Segoe UI" w:hAnsi="Segoe UI" w:cs="Segoe UI"/>
                <w:sz w:val="20"/>
                <w:szCs w:val="20"/>
              </w:rPr>
            </w:pPr>
            <w:r>
              <w:rPr>
                <w:rFonts w:ascii="Segoe UI" w:hAnsi="Segoe UI" w:cs="Segoe UI"/>
                <w:sz w:val="20"/>
                <w:szCs w:val="20"/>
              </w:rPr>
              <w:t>This r</w:t>
            </w:r>
            <w:r w:rsidRPr="005F5624">
              <w:rPr>
                <w:rFonts w:ascii="Segoe UI" w:hAnsi="Segoe UI" w:cs="Segoe UI"/>
                <w:sz w:val="20"/>
                <w:szCs w:val="20"/>
              </w:rPr>
              <w:t>efers to Ambulance Victoria’s Community Emergency Response Team volunteers and Ambulance Community Officers.</w:t>
            </w:r>
          </w:p>
        </w:tc>
      </w:tr>
      <w:tr w:rsidR="00DC2362" w:rsidRPr="005F5624" w14:paraId="2AD105F3" w14:textId="77777777" w:rsidTr="004C7267">
        <w:trPr>
          <w:trHeight w:val="300"/>
        </w:trPr>
        <w:tc>
          <w:tcPr>
            <w:tcW w:w="2305" w:type="dxa"/>
            <w:tcBorders>
              <w:top w:val="nil"/>
              <w:left w:val="nil"/>
              <w:bottom w:val="nil"/>
              <w:right w:val="nil"/>
            </w:tcBorders>
            <w:shd w:val="clear" w:color="auto" w:fill="auto"/>
          </w:tcPr>
          <w:p w14:paraId="3FC2E3CA" w14:textId="77777777" w:rsidR="00DC2362" w:rsidRPr="005F5624" w:rsidRDefault="00DC2362" w:rsidP="004C7267">
            <w:pPr>
              <w:rPr>
                <w:rFonts w:ascii="Segoe UI" w:hAnsi="Segoe UI" w:cs="Segoe UI"/>
                <w:sz w:val="20"/>
                <w:szCs w:val="20"/>
              </w:rPr>
            </w:pPr>
            <w:r w:rsidRPr="00DE310A">
              <w:rPr>
                <w:rFonts w:ascii="Segoe UI" w:hAnsi="Segoe UI" w:cs="Segoe UI"/>
                <w:sz w:val="20"/>
                <w:szCs w:val="20"/>
              </w:rPr>
              <w:t>Flexible work arrangement</w:t>
            </w:r>
            <w:r w:rsidRPr="005F5624">
              <w:rPr>
                <w:rFonts w:ascii="Segoe UI" w:hAnsi="Segoe UI" w:cs="Segoe UI"/>
                <w:sz w:val="20"/>
                <w:szCs w:val="20"/>
              </w:rPr>
              <w:t xml:space="preserve"> </w:t>
            </w:r>
          </w:p>
        </w:tc>
        <w:tc>
          <w:tcPr>
            <w:tcW w:w="6616" w:type="dxa"/>
            <w:tcBorders>
              <w:top w:val="nil"/>
              <w:left w:val="nil"/>
              <w:bottom w:val="nil"/>
              <w:right w:val="nil"/>
            </w:tcBorders>
            <w:shd w:val="clear" w:color="auto" w:fill="auto"/>
          </w:tcPr>
          <w:p w14:paraId="32A99CAB"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Anyone can request flexibility – but certain employees have a legal entitlement to request </w:t>
            </w:r>
            <w:r w:rsidRPr="00DE310A">
              <w:rPr>
                <w:rFonts w:ascii="Segoe UI" w:hAnsi="Segoe UI" w:cs="Segoe UI"/>
                <w:sz w:val="20"/>
                <w:szCs w:val="20"/>
              </w:rPr>
              <w:t>flexible working arrangements</w:t>
            </w:r>
            <w:r w:rsidRPr="005F5624">
              <w:rPr>
                <w:rFonts w:ascii="Segoe UI" w:hAnsi="Segoe UI" w:cs="Segoe UI"/>
                <w:sz w:val="20"/>
                <w:szCs w:val="20"/>
              </w:rPr>
              <w:t xml:space="preserve"> under the </w:t>
            </w:r>
            <w:r w:rsidRPr="000248F2">
              <w:rPr>
                <w:rFonts w:ascii="Segoe UI" w:hAnsi="Segoe UI" w:cs="Segoe UI"/>
                <w:i/>
                <w:iCs/>
                <w:sz w:val="20"/>
                <w:szCs w:val="20"/>
              </w:rPr>
              <w:t>Fair Work Act 2009</w:t>
            </w:r>
            <w:r w:rsidRPr="005F2357">
              <w:rPr>
                <w:rFonts w:ascii="Segoe UI" w:hAnsi="Segoe UI" w:cs="Segoe UI"/>
                <w:sz w:val="20"/>
                <w:szCs w:val="20"/>
              </w:rPr>
              <w:t xml:space="preserve"> </w:t>
            </w:r>
            <w:r w:rsidRPr="005F5624">
              <w:rPr>
                <w:rFonts w:ascii="Segoe UI" w:hAnsi="Segoe UI" w:cs="Segoe UI"/>
                <w:sz w:val="20"/>
                <w:szCs w:val="20"/>
              </w:rPr>
              <w:t>(</w:t>
            </w:r>
            <w:proofErr w:type="spellStart"/>
            <w:r w:rsidRPr="005F5624">
              <w:rPr>
                <w:rFonts w:ascii="Segoe UI" w:hAnsi="Segoe UI" w:cs="Segoe UI"/>
                <w:sz w:val="20"/>
                <w:szCs w:val="20"/>
              </w:rPr>
              <w:t>Cth</w:t>
            </w:r>
            <w:proofErr w:type="spellEnd"/>
            <w:r w:rsidRPr="005F5624">
              <w:rPr>
                <w:rFonts w:ascii="Segoe UI" w:hAnsi="Segoe UI" w:cs="Segoe UI"/>
                <w:sz w:val="20"/>
                <w:szCs w:val="20"/>
              </w:rPr>
              <w:t xml:space="preserve">). Employees who have this legal entitlement include permanent employees who have worked with the employer for at least 12 months and regular casual employees who have worked with the employer regularly and systematically for at least 12 months and have a reasonable expectation of continuing doing so. Also, the request must be because the employee is: </w:t>
            </w:r>
          </w:p>
          <w:p w14:paraId="2FEC0F42" w14:textId="77777777" w:rsidR="00DC2362" w:rsidRPr="005F5624" w:rsidRDefault="00DC2362" w:rsidP="00DC2362">
            <w:pPr>
              <w:numPr>
                <w:ilvl w:val="0"/>
                <w:numId w:val="1"/>
              </w:numPr>
              <w:spacing w:after="60" w:line="280" w:lineRule="atLeast"/>
              <w:ind w:left="360"/>
              <w:rPr>
                <w:rFonts w:ascii="Segoe UI" w:hAnsi="Segoe UI" w:cs="Segoe UI"/>
                <w:sz w:val="20"/>
                <w:szCs w:val="20"/>
              </w:rPr>
            </w:pPr>
            <w:r w:rsidRPr="005F5624">
              <w:rPr>
                <w:rFonts w:ascii="Segoe UI" w:hAnsi="Segoe UI" w:cs="Segoe UI"/>
                <w:sz w:val="20"/>
                <w:szCs w:val="20"/>
              </w:rPr>
              <w:t xml:space="preserve">pregnant </w:t>
            </w:r>
          </w:p>
          <w:p w14:paraId="0E12273A" w14:textId="77777777" w:rsidR="00DC2362" w:rsidRPr="005F5624" w:rsidRDefault="00DC2362" w:rsidP="00DC2362">
            <w:pPr>
              <w:numPr>
                <w:ilvl w:val="0"/>
                <w:numId w:val="2"/>
              </w:numPr>
              <w:spacing w:after="60" w:line="280" w:lineRule="atLeast"/>
              <w:ind w:left="360"/>
              <w:rPr>
                <w:rFonts w:ascii="Segoe UI" w:hAnsi="Segoe UI" w:cs="Segoe UI"/>
                <w:sz w:val="20"/>
                <w:szCs w:val="20"/>
              </w:rPr>
            </w:pPr>
            <w:r w:rsidRPr="005F5624">
              <w:rPr>
                <w:rFonts w:ascii="Segoe UI" w:hAnsi="Segoe UI" w:cs="Segoe UI"/>
                <w:sz w:val="20"/>
                <w:szCs w:val="20"/>
              </w:rPr>
              <w:t xml:space="preserve">a parent of, or has responsibility for the care of, a child who is school age or younger </w:t>
            </w:r>
          </w:p>
          <w:p w14:paraId="6977A426" w14:textId="77777777" w:rsidR="00DC2362" w:rsidRPr="005F5624" w:rsidRDefault="00DC2362" w:rsidP="00DC2362">
            <w:pPr>
              <w:numPr>
                <w:ilvl w:val="0"/>
                <w:numId w:val="3"/>
              </w:numPr>
              <w:spacing w:after="60" w:line="280" w:lineRule="atLeast"/>
              <w:ind w:left="360"/>
              <w:rPr>
                <w:rFonts w:ascii="Segoe UI" w:hAnsi="Segoe UI" w:cs="Segoe UI"/>
                <w:sz w:val="20"/>
                <w:szCs w:val="20"/>
              </w:rPr>
            </w:pPr>
            <w:r w:rsidRPr="005F5624">
              <w:rPr>
                <w:rFonts w:ascii="Segoe UI" w:hAnsi="Segoe UI" w:cs="Segoe UI"/>
                <w:sz w:val="20"/>
                <w:szCs w:val="20"/>
              </w:rPr>
              <w:t xml:space="preserve">a carer (within the meaning of the </w:t>
            </w:r>
            <w:r w:rsidRPr="003230C4">
              <w:rPr>
                <w:rFonts w:ascii="Segoe UI" w:hAnsi="Segoe UI" w:cs="Segoe UI"/>
                <w:i/>
                <w:iCs/>
                <w:sz w:val="20"/>
                <w:szCs w:val="20"/>
              </w:rPr>
              <w:t>Carer Recognition Act 2010</w:t>
            </w:r>
            <w:r>
              <w:rPr>
                <w:rFonts w:ascii="Segoe UI" w:hAnsi="Segoe UI" w:cs="Segoe UI"/>
                <w:sz w:val="20"/>
                <w:szCs w:val="20"/>
              </w:rPr>
              <w:t xml:space="preserve"> (</w:t>
            </w:r>
            <w:proofErr w:type="spellStart"/>
            <w:r>
              <w:rPr>
                <w:rFonts w:ascii="Segoe UI" w:hAnsi="Segoe UI" w:cs="Segoe UI"/>
                <w:sz w:val="20"/>
                <w:szCs w:val="20"/>
              </w:rPr>
              <w:t>Cth</w:t>
            </w:r>
            <w:proofErr w:type="spellEnd"/>
            <w:r>
              <w:rPr>
                <w:rFonts w:ascii="Segoe UI" w:hAnsi="Segoe UI" w:cs="Segoe UI"/>
                <w:sz w:val="20"/>
                <w:szCs w:val="20"/>
              </w:rPr>
              <w:t>)</w:t>
            </w:r>
            <w:r w:rsidRPr="005F5624">
              <w:rPr>
                <w:rFonts w:ascii="Segoe UI" w:hAnsi="Segoe UI" w:cs="Segoe UI"/>
                <w:sz w:val="20"/>
                <w:szCs w:val="20"/>
              </w:rPr>
              <w:t xml:space="preserve">) </w:t>
            </w:r>
          </w:p>
          <w:p w14:paraId="2DE13BF8" w14:textId="77777777" w:rsidR="00DC2362" w:rsidRPr="005F5624" w:rsidRDefault="00DC2362" w:rsidP="00DC2362">
            <w:pPr>
              <w:numPr>
                <w:ilvl w:val="0"/>
                <w:numId w:val="4"/>
              </w:numPr>
              <w:spacing w:after="60" w:line="280" w:lineRule="atLeast"/>
              <w:ind w:left="360"/>
              <w:rPr>
                <w:rFonts w:ascii="Segoe UI" w:hAnsi="Segoe UI" w:cs="Segoe UI"/>
                <w:sz w:val="20"/>
                <w:szCs w:val="20"/>
              </w:rPr>
            </w:pPr>
            <w:r w:rsidRPr="005F5624">
              <w:rPr>
                <w:rFonts w:ascii="Segoe UI" w:hAnsi="Segoe UI" w:cs="Segoe UI"/>
                <w:sz w:val="20"/>
                <w:szCs w:val="20"/>
              </w:rPr>
              <w:t xml:space="preserve">a person with disability </w:t>
            </w:r>
          </w:p>
          <w:p w14:paraId="34C65DBB" w14:textId="77777777" w:rsidR="00DC2362" w:rsidRPr="005F5624" w:rsidRDefault="00DC2362" w:rsidP="00DC2362">
            <w:pPr>
              <w:numPr>
                <w:ilvl w:val="0"/>
                <w:numId w:val="5"/>
              </w:numPr>
              <w:spacing w:after="60" w:line="280" w:lineRule="atLeast"/>
              <w:ind w:left="360"/>
              <w:rPr>
                <w:rFonts w:ascii="Segoe UI" w:hAnsi="Segoe UI" w:cs="Segoe UI"/>
                <w:sz w:val="20"/>
                <w:szCs w:val="20"/>
              </w:rPr>
            </w:pPr>
            <w:r w:rsidRPr="005F5624">
              <w:rPr>
                <w:rFonts w:ascii="Segoe UI" w:hAnsi="Segoe UI" w:cs="Segoe UI"/>
                <w:sz w:val="20"/>
                <w:szCs w:val="20"/>
              </w:rPr>
              <w:t xml:space="preserve">aged 55 or older </w:t>
            </w:r>
          </w:p>
          <w:p w14:paraId="39069119" w14:textId="77777777" w:rsidR="00DC2362" w:rsidRPr="005F5624" w:rsidRDefault="00DC2362" w:rsidP="00DC2362">
            <w:pPr>
              <w:numPr>
                <w:ilvl w:val="0"/>
                <w:numId w:val="6"/>
              </w:numPr>
              <w:spacing w:after="60" w:line="280" w:lineRule="atLeast"/>
              <w:ind w:left="360"/>
              <w:rPr>
                <w:rFonts w:ascii="Segoe UI" w:hAnsi="Segoe UI" w:cs="Segoe UI"/>
                <w:sz w:val="20"/>
                <w:szCs w:val="20"/>
              </w:rPr>
            </w:pPr>
            <w:r w:rsidRPr="005F5624">
              <w:rPr>
                <w:rFonts w:ascii="Segoe UI" w:hAnsi="Segoe UI" w:cs="Segoe UI"/>
                <w:sz w:val="20"/>
                <w:szCs w:val="20"/>
              </w:rPr>
              <w:t>experiencing family and domestic violence</w:t>
            </w:r>
            <w:r>
              <w:rPr>
                <w:rFonts w:ascii="Segoe UI" w:hAnsi="Segoe UI" w:cs="Segoe UI"/>
                <w:sz w:val="20"/>
                <w:szCs w:val="20"/>
              </w:rPr>
              <w:t>;</w:t>
            </w:r>
            <w:r w:rsidRPr="005F5624">
              <w:rPr>
                <w:rFonts w:ascii="Segoe UI" w:hAnsi="Segoe UI" w:cs="Segoe UI"/>
                <w:sz w:val="20"/>
                <w:szCs w:val="20"/>
              </w:rPr>
              <w:t xml:space="preserve"> or </w:t>
            </w:r>
          </w:p>
          <w:p w14:paraId="4BF92E78" w14:textId="77777777" w:rsidR="00DC2362" w:rsidRPr="005F5624" w:rsidRDefault="00DC2362" w:rsidP="00DC2362">
            <w:pPr>
              <w:numPr>
                <w:ilvl w:val="0"/>
                <w:numId w:val="7"/>
              </w:numPr>
              <w:spacing w:after="60" w:line="280" w:lineRule="atLeast"/>
              <w:ind w:left="360"/>
              <w:rPr>
                <w:rFonts w:ascii="Segoe UI" w:hAnsi="Segoe UI" w:cs="Segoe UI"/>
                <w:sz w:val="20"/>
                <w:szCs w:val="20"/>
              </w:rPr>
            </w:pPr>
            <w:r w:rsidRPr="005F5624">
              <w:rPr>
                <w:rFonts w:ascii="Segoe UI" w:hAnsi="Segoe UI" w:cs="Segoe UI"/>
                <w:sz w:val="20"/>
                <w:szCs w:val="20"/>
              </w:rPr>
              <w:t xml:space="preserve">providing care or support to an immediate family member, or someone they live with, because they are experiencing family and domestic violence. </w:t>
            </w:r>
          </w:p>
          <w:p w14:paraId="317888E3"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If a state or territory law gives an employee a better entitlement to </w:t>
            </w:r>
            <w:r w:rsidRPr="00DE310A">
              <w:rPr>
                <w:rFonts w:ascii="Segoe UI" w:hAnsi="Segoe UI" w:cs="Segoe UI"/>
                <w:sz w:val="20"/>
                <w:szCs w:val="20"/>
              </w:rPr>
              <w:t>flexible working arrangements, t</w:t>
            </w:r>
            <w:r w:rsidRPr="005F5624">
              <w:rPr>
                <w:rFonts w:ascii="Segoe UI" w:hAnsi="Segoe UI" w:cs="Segoe UI"/>
                <w:sz w:val="20"/>
                <w:szCs w:val="20"/>
              </w:rPr>
              <w:t xml:space="preserve">hen that state or territory law still applies. </w:t>
            </w:r>
          </w:p>
          <w:p w14:paraId="78283764"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Under the </w:t>
            </w:r>
            <w:r w:rsidRPr="00DE2C92">
              <w:rPr>
                <w:rFonts w:ascii="Segoe UI" w:hAnsi="Segoe UI" w:cs="Segoe UI"/>
                <w:i/>
                <w:iCs/>
                <w:sz w:val="20"/>
                <w:szCs w:val="20"/>
              </w:rPr>
              <w:t>Equal Opportunity Act 2010</w:t>
            </w:r>
            <w:r w:rsidRPr="005F5624">
              <w:rPr>
                <w:rFonts w:ascii="Segoe UI" w:hAnsi="Segoe UI" w:cs="Segoe UI"/>
                <w:sz w:val="20"/>
                <w:szCs w:val="20"/>
              </w:rPr>
              <w:t xml:space="preserve"> (Vic), it is unlawful to discriminate against an employee </w:t>
            </w:r>
            <w:proofErr w:type="gramStart"/>
            <w:r w:rsidRPr="005F5624">
              <w:rPr>
                <w:rFonts w:ascii="Segoe UI" w:hAnsi="Segoe UI" w:cs="Segoe UI"/>
                <w:sz w:val="20"/>
                <w:szCs w:val="20"/>
              </w:rPr>
              <w:t>on the basis of</w:t>
            </w:r>
            <w:proofErr w:type="gramEnd"/>
            <w:r w:rsidRPr="005F5624">
              <w:rPr>
                <w:rFonts w:ascii="Segoe UI" w:hAnsi="Segoe UI" w:cs="Segoe UI"/>
                <w:sz w:val="20"/>
                <w:szCs w:val="20"/>
              </w:rPr>
              <w:t xml:space="preserve"> protected attributes, several of which may relate to requests for flexible work, including age, disability, parent or carer status, pregnancy or sex. The Equal Opportunity Act also expressly </w:t>
            </w:r>
            <w:r w:rsidRPr="005F5624">
              <w:rPr>
                <w:rFonts w:ascii="Segoe UI" w:hAnsi="Segoe UI" w:cs="Segoe UI"/>
                <w:sz w:val="20"/>
                <w:szCs w:val="20"/>
              </w:rPr>
              <w:lastRenderedPageBreak/>
              <w:t xml:space="preserve">requires employers to reasonably accommodate parental or carer responsibilities. </w:t>
            </w:r>
          </w:p>
          <w:p w14:paraId="39E1E9BF"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In addition to the grounds listed under the </w:t>
            </w:r>
            <w:r w:rsidRPr="00251B9E">
              <w:rPr>
                <w:rFonts w:ascii="Segoe UI" w:hAnsi="Segoe UI" w:cs="Segoe UI"/>
                <w:sz w:val="20"/>
                <w:szCs w:val="20"/>
              </w:rPr>
              <w:t>Fair Work Act</w:t>
            </w:r>
            <w:r w:rsidRPr="005F5624">
              <w:rPr>
                <w:rFonts w:ascii="Segoe UI" w:hAnsi="Segoe UI" w:cs="Segoe UI"/>
                <w:sz w:val="20"/>
                <w:szCs w:val="20"/>
              </w:rPr>
              <w:t xml:space="preserve"> above, clause 23.3 of the Ambulance Victoria Enterprise Agreement 2020 also provides for </w:t>
            </w:r>
            <w:r>
              <w:rPr>
                <w:rFonts w:ascii="Segoe UI" w:hAnsi="Segoe UI" w:cs="Segoe UI"/>
                <w:sz w:val="20"/>
                <w:szCs w:val="20"/>
              </w:rPr>
              <w:t>2</w:t>
            </w:r>
            <w:r w:rsidRPr="005F5624">
              <w:rPr>
                <w:rFonts w:ascii="Segoe UI" w:hAnsi="Segoe UI" w:cs="Segoe UI"/>
                <w:sz w:val="20"/>
                <w:szCs w:val="20"/>
              </w:rPr>
              <w:t xml:space="preserve"> additional circumstances</w:t>
            </w:r>
            <w:r>
              <w:rPr>
                <w:rFonts w:ascii="Segoe UI" w:hAnsi="Segoe UI" w:cs="Segoe UI"/>
                <w:sz w:val="20"/>
                <w:szCs w:val="20"/>
              </w:rPr>
              <w:t>:</w:t>
            </w:r>
            <w:r w:rsidRPr="005F5624">
              <w:rPr>
                <w:rFonts w:ascii="Segoe UI" w:hAnsi="Segoe UI" w:cs="Segoe UI"/>
                <w:sz w:val="20"/>
                <w:szCs w:val="20"/>
              </w:rPr>
              <w:t xml:space="preserve"> where an employee has a medical condition that requires a </w:t>
            </w:r>
            <w:r w:rsidRPr="00DE310A">
              <w:rPr>
                <w:rFonts w:ascii="Segoe UI" w:hAnsi="Segoe UI" w:cs="Segoe UI"/>
                <w:sz w:val="20"/>
                <w:szCs w:val="20"/>
              </w:rPr>
              <w:t>flexible work arrangement</w:t>
            </w:r>
            <w:r w:rsidRPr="005F5624">
              <w:rPr>
                <w:rFonts w:ascii="Segoe UI" w:hAnsi="Segoe UI" w:cs="Segoe UI"/>
                <w:sz w:val="20"/>
                <w:szCs w:val="20"/>
              </w:rPr>
              <w:t xml:space="preserve"> or is transitioning to retirement in accordance with a documented and agreed retirement plan. </w:t>
            </w:r>
          </w:p>
        </w:tc>
      </w:tr>
      <w:tr w:rsidR="00DC2362" w:rsidRPr="005F5624" w14:paraId="0118A10A" w14:textId="77777777" w:rsidTr="004C7267">
        <w:trPr>
          <w:trHeight w:val="300"/>
        </w:trPr>
        <w:tc>
          <w:tcPr>
            <w:tcW w:w="2305" w:type="dxa"/>
            <w:tcBorders>
              <w:top w:val="nil"/>
              <w:left w:val="nil"/>
              <w:bottom w:val="nil"/>
              <w:right w:val="nil"/>
            </w:tcBorders>
            <w:shd w:val="clear" w:color="auto" w:fill="auto"/>
          </w:tcPr>
          <w:p w14:paraId="2FDE12A5"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lastRenderedPageBreak/>
              <w:t xml:space="preserve">Harmful conduct </w:t>
            </w:r>
          </w:p>
        </w:tc>
        <w:tc>
          <w:tcPr>
            <w:tcW w:w="6616" w:type="dxa"/>
            <w:tcBorders>
              <w:top w:val="nil"/>
              <w:left w:val="nil"/>
              <w:bottom w:val="nil"/>
              <w:right w:val="nil"/>
            </w:tcBorders>
            <w:shd w:val="clear" w:color="auto" w:fill="auto"/>
          </w:tcPr>
          <w:p w14:paraId="757E15D6" w14:textId="77777777" w:rsidR="00DC2362" w:rsidRPr="005F5624" w:rsidRDefault="00DC2362" w:rsidP="004C7267">
            <w:pPr>
              <w:rPr>
                <w:rFonts w:ascii="Segoe UI" w:hAnsi="Segoe UI" w:cs="Segoe UI"/>
                <w:sz w:val="20"/>
                <w:szCs w:val="20"/>
              </w:rPr>
            </w:pPr>
            <w:r>
              <w:rPr>
                <w:rFonts w:ascii="Segoe UI" w:hAnsi="Segoe UI" w:cs="Segoe UI"/>
                <w:sz w:val="20"/>
                <w:szCs w:val="20"/>
              </w:rPr>
              <w:t>This includes b</w:t>
            </w:r>
            <w:r w:rsidRPr="005F5624">
              <w:rPr>
                <w:rFonts w:ascii="Segoe UI" w:hAnsi="Segoe UI" w:cs="Segoe UI"/>
                <w:sz w:val="20"/>
                <w:szCs w:val="20"/>
              </w:rPr>
              <w:t xml:space="preserve">ehaviours such as incivility and disrespect. While these behaviours may not be unlawful under the </w:t>
            </w:r>
            <w:r w:rsidRPr="00DE2C92">
              <w:rPr>
                <w:rFonts w:ascii="Segoe UI" w:hAnsi="Segoe UI" w:cs="Segoe UI"/>
                <w:i/>
                <w:iCs/>
                <w:sz w:val="20"/>
                <w:szCs w:val="20"/>
              </w:rPr>
              <w:t>Equal Opportunity Act 2010</w:t>
            </w:r>
            <w:r w:rsidRPr="00340132">
              <w:rPr>
                <w:rFonts w:ascii="Segoe UI" w:hAnsi="Segoe UI" w:cs="Segoe UI"/>
                <w:sz w:val="20"/>
                <w:szCs w:val="20"/>
              </w:rPr>
              <w:t xml:space="preserve"> </w:t>
            </w:r>
            <w:r w:rsidRPr="005F5624">
              <w:rPr>
                <w:rFonts w:ascii="Segoe UI" w:hAnsi="Segoe UI" w:cs="Segoe UI"/>
                <w:sz w:val="20"/>
                <w:szCs w:val="20"/>
              </w:rPr>
              <w:t xml:space="preserve">(Vic), they can still cause significant harm in the workplace </w:t>
            </w:r>
            <w:proofErr w:type="gramStart"/>
            <w:r w:rsidRPr="005F5624">
              <w:rPr>
                <w:rFonts w:ascii="Segoe UI" w:hAnsi="Segoe UI" w:cs="Segoe UI"/>
                <w:sz w:val="20"/>
                <w:szCs w:val="20"/>
              </w:rPr>
              <w:t>and also</w:t>
            </w:r>
            <w:proofErr w:type="gramEnd"/>
            <w:r w:rsidRPr="005F5624">
              <w:rPr>
                <w:rFonts w:ascii="Segoe UI" w:hAnsi="Segoe UI" w:cs="Segoe UI"/>
                <w:sz w:val="20"/>
                <w:szCs w:val="20"/>
              </w:rPr>
              <w:t xml:space="preserve"> enable conduct that is unlawful.</w:t>
            </w:r>
          </w:p>
        </w:tc>
      </w:tr>
      <w:tr w:rsidR="00DC2362" w:rsidRPr="005F5624" w14:paraId="68ACF55D" w14:textId="77777777" w:rsidTr="004C7267">
        <w:trPr>
          <w:trHeight w:val="300"/>
        </w:trPr>
        <w:tc>
          <w:tcPr>
            <w:tcW w:w="2305" w:type="dxa"/>
            <w:tcBorders>
              <w:top w:val="nil"/>
              <w:left w:val="nil"/>
              <w:bottom w:val="nil"/>
              <w:right w:val="nil"/>
            </w:tcBorders>
            <w:shd w:val="clear" w:color="auto" w:fill="auto"/>
          </w:tcPr>
          <w:p w14:paraId="28E6BE7F"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Isolated work environment </w:t>
            </w:r>
          </w:p>
        </w:tc>
        <w:tc>
          <w:tcPr>
            <w:tcW w:w="6616" w:type="dxa"/>
            <w:tcBorders>
              <w:top w:val="nil"/>
              <w:left w:val="nil"/>
              <w:bottom w:val="nil"/>
              <w:right w:val="nil"/>
            </w:tcBorders>
            <w:shd w:val="clear" w:color="auto" w:fill="auto"/>
          </w:tcPr>
          <w:p w14:paraId="3726DB04" w14:textId="77777777" w:rsidR="00DC2362" w:rsidRPr="005F5624" w:rsidRDefault="00DC2362" w:rsidP="004C7267">
            <w:pPr>
              <w:rPr>
                <w:rFonts w:ascii="Segoe UI" w:hAnsi="Segoe UI" w:cs="Segoe UI"/>
                <w:sz w:val="20"/>
                <w:szCs w:val="20"/>
              </w:rPr>
            </w:pPr>
            <w:r>
              <w:rPr>
                <w:rFonts w:ascii="Segoe UI" w:hAnsi="Segoe UI" w:cs="Segoe UI"/>
                <w:sz w:val="20"/>
                <w:szCs w:val="20"/>
              </w:rPr>
              <w:t>This i</w:t>
            </w:r>
            <w:r w:rsidRPr="005F5624">
              <w:rPr>
                <w:rFonts w:ascii="Segoe UI" w:hAnsi="Segoe UI" w:cs="Segoe UI"/>
                <w:sz w:val="20"/>
                <w:szCs w:val="20"/>
              </w:rPr>
              <w:t>nclude</w:t>
            </w:r>
            <w:r>
              <w:rPr>
                <w:rFonts w:ascii="Segoe UI" w:hAnsi="Segoe UI" w:cs="Segoe UI"/>
                <w:sz w:val="20"/>
                <w:szCs w:val="20"/>
              </w:rPr>
              <w:t>s</w:t>
            </w:r>
            <w:r w:rsidRPr="005F5624">
              <w:rPr>
                <w:rFonts w:ascii="Segoe UI" w:hAnsi="Segoe UI" w:cs="Segoe UI"/>
                <w:sz w:val="20"/>
                <w:szCs w:val="20"/>
              </w:rPr>
              <w:t xml:space="preserve"> geographic</w:t>
            </w:r>
            <w:r>
              <w:rPr>
                <w:rFonts w:ascii="Segoe UI" w:hAnsi="Segoe UI" w:cs="Segoe UI"/>
                <w:sz w:val="20"/>
                <w:szCs w:val="20"/>
              </w:rPr>
              <w:t>al</w:t>
            </w:r>
            <w:r w:rsidRPr="005F5624">
              <w:rPr>
                <w:rFonts w:ascii="Segoe UI" w:hAnsi="Segoe UI" w:cs="Segoe UI"/>
                <w:sz w:val="20"/>
                <w:szCs w:val="20"/>
              </w:rPr>
              <w:t>, physical or social isolation, for example, on the road, in rural areas and in branch sleeping quarters.</w:t>
            </w:r>
          </w:p>
        </w:tc>
      </w:tr>
      <w:tr w:rsidR="00DC2362" w:rsidRPr="005F5624" w14:paraId="31610909" w14:textId="77777777" w:rsidTr="004C7267">
        <w:trPr>
          <w:trHeight w:val="300"/>
        </w:trPr>
        <w:tc>
          <w:tcPr>
            <w:tcW w:w="2305" w:type="dxa"/>
            <w:tcBorders>
              <w:top w:val="nil"/>
              <w:left w:val="nil"/>
              <w:bottom w:val="nil"/>
              <w:right w:val="nil"/>
            </w:tcBorders>
            <w:shd w:val="clear" w:color="auto" w:fill="auto"/>
            <w:hideMark/>
          </w:tcPr>
          <w:p w14:paraId="4E4DEF43"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Manager </w:t>
            </w:r>
          </w:p>
        </w:tc>
        <w:tc>
          <w:tcPr>
            <w:tcW w:w="6616" w:type="dxa"/>
            <w:tcBorders>
              <w:top w:val="nil"/>
              <w:left w:val="nil"/>
              <w:bottom w:val="nil"/>
              <w:right w:val="nil"/>
            </w:tcBorders>
            <w:shd w:val="clear" w:color="auto" w:fill="auto"/>
            <w:hideMark/>
          </w:tcPr>
          <w:p w14:paraId="1EE0CE8F" w14:textId="77777777" w:rsidR="00DC2362" w:rsidRPr="005F5624" w:rsidRDefault="00DC2362" w:rsidP="004C7267">
            <w:pPr>
              <w:rPr>
                <w:rFonts w:ascii="Segoe UI" w:hAnsi="Segoe UI" w:cs="Segoe UI"/>
                <w:sz w:val="20"/>
                <w:szCs w:val="20"/>
              </w:rPr>
            </w:pPr>
            <w:r>
              <w:rPr>
                <w:rFonts w:ascii="Segoe UI" w:hAnsi="Segoe UI" w:cs="Segoe UI"/>
                <w:sz w:val="20"/>
                <w:szCs w:val="20"/>
              </w:rPr>
              <w:t>This r</w:t>
            </w:r>
            <w:r w:rsidRPr="005F5624">
              <w:rPr>
                <w:rFonts w:ascii="Segoe UI" w:hAnsi="Segoe UI" w:cs="Segoe UI"/>
                <w:sz w:val="20"/>
                <w:szCs w:val="20"/>
              </w:rPr>
              <w:t>efers to a current line manager.</w:t>
            </w:r>
          </w:p>
        </w:tc>
      </w:tr>
      <w:tr w:rsidR="00DC2362" w:rsidRPr="005F5624" w14:paraId="2043D862" w14:textId="77777777" w:rsidTr="004C7267">
        <w:trPr>
          <w:trHeight w:val="300"/>
        </w:trPr>
        <w:tc>
          <w:tcPr>
            <w:tcW w:w="2305" w:type="dxa"/>
            <w:tcBorders>
              <w:top w:val="nil"/>
              <w:left w:val="nil"/>
              <w:bottom w:val="nil"/>
              <w:right w:val="nil"/>
            </w:tcBorders>
            <w:shd w:val="clear" w:color="auto" w:fill="auto"/>
          </w:tcPr>
          <w:p w14:paraId="72A463E0"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Participant</w:t>
            </w:r>
          </w:p>
        </w:tc>
        <w:tc>
          <w:tcPr>
            <w:tcW w:w="6616" w:type="dxa"/>
            <w:tcBorders>
              <w:top w:val="nil"/>
              <w:left w:val="nil"/>
              <w:bottom w:val="nil"/>
              <w:right w:val="nil"/>
            </w:tcBorders>
            <w:shd w:val="clear" w:color="auto" w:fill="auto"/>
          </w:tcPr>
          <w:p w14:paraId="27987EC3"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This term is used in the </w:t>
            </w:r>
            <w:r>
              <w:rPr>
                <w:rFonts w:ascii="Segoe UI" w:hAnsi="Segoe UI" w:cs="Segoe UI"/>
                <w:sz w:val="20"/>
                <w:szCs w:val="20"/>
              </w:rPr>
              <w:t>R</w:t>
            </w:r>
            <w:r w:rsidRPr="005F5624">
              <w:rPr>
                <w:rFonts w:ascii="Segoe UI" w:hAnsi="Segoe UI" w:cs="Segoe UI"/>
                <w:sz w:val="20"/>
                <w:szCs w:val="20"/>
              </w:rPr>
              <w:t xml:space="preserve">eport when referring to people </w:t>
            </w:r>
            <w:r>
              <w:rPr>
                <w:rFonts w:ascii="Segoe UI" w:hAnsi="Segoe UI" w:cs="Segoe UI"/>
                <w:sz w:val="20"/>
                <w:szCs w:val="20"/>
              </w:rPr>
              <w:t>who</w:t>
            </w:r>
            <w:r w:rsidRPr="005F5624">
              <w:rPr>
                <w:rFonts w:ascii="Segoe UI" w:hAnsi="Segoe UI" w:cs="Segoe UI"/>
                <w:sz w:val="20"/>
                <w:szCs w:val="20"/>
              </w:rPr>
              <w:t xml:space="preserve"> have participated in the Progress Evaluation Audit.</w:t>
            </w:r>
          </w:p>
        </w:tc>
      </w:tr>
      <w:tr w:rsidR="00DC2362" w:rsidRPr="005F5624" w14:paraId="2B012630" w14:textId="77777777" w:rsidTr="004C7267">
        <w:trPr>
          <w:trHeight w:val="300"/>
        </w:trPr>
        <w:tc>
          <w:tcPr>
            <w:tcW w:w="2305" w:type="dxa"/>
            <w:tcBorders>
              <w:top w:val="nil"/>
              <w:left w:val="nil"/>
              <w:bottom w:val="nil"/>
              <w:right w:val="nil"/>
            </w:tcBorders>
            <w:shd w:val="clear" w:color="auto" w:fill="auto"/>
          </w:tcPr>
          <w:p w14:paraId="65D0DD66"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Reasonable adjustment </w:t>
            </w:r>
          </w:p>
        </w:tc>
        <w:tc>
          <w:tcPr>
            <w:tcW w:w="6616" w:type="dxa"/>
            <w:tcBorders>
              <w:top w:val="nil"/>
              <w:left w:val="nil"/>
              <w:bottom w:val="nil"/>
              <w:right w:val="nil"/>
            </w:tcBorders>
            <w:shd w:val="clear" w:color="auto" w:fill="auto"/>
          </w:tcPr>
          <w:p w14:paraId="18CA7BEE"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Under the </w:t>
            </w:r>
            <w:r w:rsidRPr="00FF3751">
              <w:rPr>
                <w:rFonts w:ascii="Segoe UI" w:hAnsi="Segoe UI" w:cs="Segoe UI"/>
                <w:i/>
                <w:iCs/>
                <w:sz w:val="20"/>
                <w:szCs w:val="20"/>
              </w:rPr>
              <w:t>Equal Opportunity Act 2010</w:t>
            </w:r>
            <w:r w:rsidRPr="00340132">
              <w:rPr>
                <w:rFonts w:ascii="Segoe UI" w:hAnsi="Segoe UI" w:cs="Segoe UI"/>
                <w:sz w:val="20"/>
                <w:szCs w:val="20"/>
              </w:rPr>
              <w:t xml:space="preserve"> </w:t>
            </w:r>
            <w:r w:rsidRPr="005F5624">
              <w:rPr>
                <w:rFonts w:ascii="Segoe UI" w:hAnsi="Segoe UI" w:cs="Segoe UI"/>
                <w:sz w:val="20"/>
                <w:szCs w:val="20"/>
              </w:rPr>
              <w:t>(Vic), employers are required to make reasonable adjustments for a person with disability. Reasonable adjustments are changes to work environments or arrangements that are required to allow people with disabilit</w:t>
            </w:r>
            <w:r>
              <w:rPr>
                <w:rFonts w:ascii="Segoe UI" w:hAnsi="Segoe UI" w:cs="Segoe UI"/>
                <w:sz w:val="20"/>
                <w:szCs w:val="20"/>
              </w:rPr>
              <w:t>ies</w:t>
            </w:r>
            <w:r w:rsidRPr="005F5624">
              <w:rPr>
                <w:rFonts w:ascii="Segoe UI" w:hAnsi="Segoe UI" w:cs="Segoe UI"/>
                <w:sz w:val="20"/>
                <w:szCs w:val="20"/>
              </w:rPr>
              <w:t xml:space="preserve"> to work safely and productively.</w:t>
            </w:r>
          </w:p>
        </w:tc>
      </w:tr>
      <w:tr w:rsidR="00DC2362" w:rsidRPr="005F5624" w14:paraId="4093909F" w14:textId="77777777" w:rsidTr="004C7267">
        <w:trPr>
          <w:trHeight w:val="300"/>
        </w:trPr>
        <w:tc>
          <w:tcPr>
            <w:tcW w:w="2305" w:type="dxa"/>
            <w:tcBorders>
              <w:top w:val="nil"/>
              <w:left w:val="nil"/>
              <w:bottom w:val="nil"/>
              <w:right w:val="nil"/>
            </w:tcBorders>
            <w:shd w:val="clear" w:color="auto" w:fill="auto"/>
            <w:hideMark/>
          </w:tcPr>
          <w:p w14:paraId="6622D946"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Senior leader </w:t>
            </w:r>
          </w:p>
        </w:tc>
        <w:tc>
          <w:tcPr>
            <w:tcW w:w="6616" w:type="dxa"/>
            <w:tcBorders>
              <w:top w:val="nil"/>
              <w:left w:val="nil"/>
              <w:bottom w:val="nil"/>
              <w:right w:val="nil"/>
            </w:tcBorders>
            <w:shd w:val="clear" w:color="auto" w:fill="auto"/>
            <w:hideMark/>
          </w:tcPr>
          <w:p w14:paraId="61F64A77" w14:textId="77777777" w:rsidR="00DC2362" w:rsidRPr="005F5624" w:rsidRDefault="00DC2362" w:rsidP="004C7267">
            <w:pPr>
              <w:rPr>
                <w:rFonts w:ascii="Segoe UI" w:hAnsi="Segoe UI" w:cs="Segoe UI"/>
                <w:sz w:val="20"/>
                <w:szCs w:val="20"/>
              </w:rPr>
            </w:pPr>
            <w:r>
              <w:rPr>
                <w:rFonts w:ascii="Segoe UI" w:hAnsi="Segoe UI" w:cs="Segoe UI"/>
                <w:sz w:val="20"/>
                <w:szCs w:val="20"/>
              </w:rPr>
              <w:t>This r</w:t>
            </w:r>
            <w:r w:rsidRPr="005F5624">
              <w:rPr>
                <w:rFonts w:ascii="Segoe UI" w:hAnsi="Segoe UI" w:cs="Segoe UI"/>
                <w:sz w:val="20"/>
                <w:szCs w:val="20"/>
              </w:rPr>
              <w:t xml:space="preserve">efers to </w:t>
            </w:r>
            <w:r>
              <w:rPr>
                <w:rFonts w:ascii="Segoe UI" w:hAnsi="Segoe UI" w:cs="Segoe UI"/>
                <w:sz w:val="20"/>
                <w:szCs w:val="20"/>
              </w:rPr>
              <w:t>a person who</w:t>
            </w:r>
            <w:r w:rsidRPr="005F5624">
              <w:rPr>
                <w:rFonts w:ascii="Segoe UI" w:hAnsi="Segoe UI" w:cs="Segoe UI"/>
                <w:sz w:val="20"/>
                <w:szCs w:val="20"/>
              </w:rPr>
              <w:t xml:space="preserve"> ha</w:t>
            </w:r>
            <w:r>
              <w:rPr>
                <w:rFonts w:ascii="Segoe UI" w:hAnsi="Segoe UI" w:cs="Segoe UI"/>
                <w:sz w:val="20"/>
                <w:szCs w:val="20"/>
              </w:rPr>
              <w:t>s</w:t>
            </w:r>
            <w:r w:rsidRPr="005F5624">
              <w:rPr>
                <w:rFonts w:ascii="Segoe UI" w:hAnsi="Segoe UI" w:cs="Segoe UI"/>
                <w:sz w:val="20"/>
                <w:szCs w:val="20"/>
              </w:rPr>
              <w:t xml:space="preserve"> the role of director or higher.</w:t>
            </w:r>
          </w:p>
        </w:tc>
      </w:tr>
      <w:tr w:rsidR="00DC2362" w:rsidRPr="005F5624" w14:paraId="40C81CF8" w14:textId="77777777" w:rsidTr="004C7267">
        <w:trPr>
          <w:trHeight w:val="300"/>
        </w:trPr>
        <w:tc>
          <w:tcPr>
            <w:tcW w:w="2305" w:type="dxa"/>
            <w:tcBorders>
              <w:top w:val="nil"/>
              <w:left w:val="nil"/>
              <w:bottom w:val="nil"/>
              <w:right w:val="nil"/>
            </w:tcBorders>
            <w:shd w:val="clear" w:color="auto" w:fill="auto"/>
          </w:tcPr>
          <w:p w14:paraId="781FF1FC"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Sexual harassment </w:t>
            </w:r>
          </w:p>
        </w:tc>
        <w:tc>
          <w:tcPr>
            <w:tcW w:w="6616" w:type="dxa"/>
            <w:tcBorders>
              <w:top w:val="nil"/>
              <w:left w:val="nil"/>
              <w:bottom w:val="nil"/>
              <w:right w:val="nil"/>
            </w:tcBorders>
            <w:shd w:val="clear" w:color="auto" w:fill="auto"/>
          </w:tcPr>
          <w:p w14:paraId="7C9342A9"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Sexual harassment is unwelcome conduct of a sexual nature, unwelcome sexual advances or unwelcome requests for sexual favours that could be expected to make a reasonable person feel offended, humiliated or intimidated. </w:t>
            </w:r>
          </w:p>
          <w:p w14:paraId="38713FD0"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Examples include: </w:t>
            </w:r>
          </w:p>
          <w:p w14:paraId="6BA9D01F" w14:textId="77777777" w:rsidR="00DC2362" w:rsidRPr="005F5624" w:rsidRDefault="00DC2362" w:rsidP="00DC2362">
            <w:pPr>
              <w:pStyle w:val="ListParagraph"/>
              <w:numPr>
                <w:ilvl w:val="0"/>
                <w:numId w:val="9"/>
              </w:numPr>
              <w:rPr>
                <w:rFonts w:ascii="Segoe UI" w:hAnsi="Segoe UI" w:cs="Segoe UI"/>
                <w:sz w:val="20"/>
                <w:szCs w:val="20"/>
              </w:rPr>
            </w:pPr>
            <w:r w:rsidRPr="005F5624">
              <w:rPr>
                <w:rFonts w:ascii="Segoe UI" w:hAnsi="Segoe UI" w:cs="Segoe UI"/>
                <w:sz w:val="20"/>
                <w:szCs w:val="20"/>
              </w:rPr>
              <w:t xml:space="preserve">comments about a person’s private life or the way they look </w:t>
            </w:r>
          </w:p>
          <w:p w14:paraId="6CA232FD" w14:textId="77777777" w:rsidR="00DC2362" w:rsidRPr="005F5624" w:rsidRDefault="00DC2362" w:rsidP="00DC2362">
            <w:pPr>
              <w:pStyle w:val="ListParagraph"/>
              <w:numPr>
                <w:ilvl w:val="0"/>
                <w:numId w:val="9"/>
              </w:numPr>
              <w:rPr>
                <w:rFonts w:ascii="Segoe UI" w:hAnsi="Segoe UI" w:cs="Segoe UI"/>
                <w:sz w:val="20"/>
                <w:szCs w:val="20"/>
              </w:rPr>
            </w:pPr>
            <w:r w:rsidRPr="005F5624">
              <w:rPr>
                <w:rFonts w:ascii="Segoe UI" w:hAnsi="Segoe UI" w:cs="Segoe UI"/>
                <w:sz w:val="20"/>
                <w:szCs w:val="20"/>
              </w:rPr>
              <w:t xml:space="preserve">brushing up against someone, touching or hugging </w:t>
            </w:r>
          </w:p>
          <w:p w14:paraId="258B0C52" w14:textId="77777777" w:rsidR="00DC2362" w:rsidRPr="005F5624" w:rsidRDefault="00DC2362" w:rsidP="00DC2362">
            <w:pPr>
              <w:pStyle w:val="ListParagraph"/>
              <w:numPr>
                <w:ilvl w:val="0"/>
                <w:numId w:val="9"/>
              </w:numPr>
              <w:rPr>
                <w:rFonts w:ascii="Segoe UI" w:hAnsi="Segoe UI" w:cs="Segoe UI"/>
                <w:sz w:val="20"/>
                <w:szCs w:val="20"/>
              </w:rPr>
            </w:pPr>
            <w:r w:rsidRPr="005F5624">
              <w:rPr>
                <w:rFonts w:ascii="Segoe UI" w:hAnsi="Segoe UI" w:cs="Segoe UI"/>
                <w:sz w:val="20"/>
                <w:szCs w:val="20"/>
              </w:rPr>
              <w:t xml:space="preserve">sexually suggestive comments or jokes </w:t>
            </w:r>
          </w:p>
          <w:p w14:paraId="62647BBB" w14:textId="77777777" w:rsidR="00DC2362" w:rsidRPr="005F5624" w:rsidRDefault="00DC2362" w:rsidP="00DC2362">
            <w:pPr>
              <w:pStyle w:val="ListParagraph"/>
              <w:numPr>
                <w:ilvl w:val="0"/>
                <w:numId w:val="9"/>
              </w:numPr>
              <w:rPr>
                <w:rFonts w:ascii="Segoe UI" w:hAnsi="Segoe UI" w:cs="Segoe UI"/>
                <w:sz w:val="20"/>
                <w:szCs w:val="20"/>
              </w:rPr>
            </w:pPr>
            <w:r w:rsidRPr="005F5624">
              <w:rPr>
                <w:rFonts w:ascii="Segoe UI" w:hAnsi="Segoe UI" w:cs="Segoe UI"/>
                <w:sz w:val="20"/>
                <w:szCs w:val="20"/>
              </w:rPr>
              <w:t xml:space="preserve">attempted or actual sexual assault or rape. </w:t>
            </w:r>
          </w:p>
          <w:p w14:paraId="43EB9BE3"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Sexual harassment may also meet the definition of discrimination under the </w:t>
            </w:r>
            <w:r w:rsidRPr="00FF3751">
              <w:rPr>
                <w:rFonts w:ascii="Segoe UI" w:hAnsi="Segoe UI" w:cs="Segoe UI"/>
                <w:i/>
                <w:iCs/>
                <w:sz w:val="20"/>
                <w:szCs w:val="20"/>
              </w:rPr>
              <w:t>Equal Opportunity Act 2010</w:t>
            </w:r>
            <w:r w:rsidRPr="005F5624">
              <w:rPr>
                <w:rFonts w:ascii="Segoe UI" w:hAnsi="Segoe UI" w:cs="Segoe UI"/>
                <w:sz w:val="20"/>
                <w:szCs w:val="20"/>
              </w:rPr>
              <w:t xml:space="preserve"> (Vic) when it is based on a protected attribute, such as sex. In addition, some forms of sexual harassment may constitute a criminal offence under the </w:t>
            </w:r>
            <w:r w:rsidRPr="00FF3751">
              <w:rPr>
                <w:rFonts w:ascii="Segoe UI" w:hAnsi="Segoe UI" w:cs="Segoe UI"/>
                <w:i/>
                <w:iCs/>
                <w:sz w:val="20"/>
                <w:szCs w:val="20"/>
              </w:rPr>
              <w:t>Crimes Act 1958</w:t>
            </w:r>
            <w:r w:rsidRPr="005F5624">
              <w:rPr>
                <w:rFonts w:ascii="Segoe UI" w:hAnsi="Segoe UI" w:cs="Segoe UI"/>
                <w:sz w:val="20"/>
                <w:szCs w:val="20"/>
              </w:rPr>
              <w:t xml:space="preserve"> (Vic). Examples include attempted or actual sexual assault or rape, stalking and unwanted touching of a sexual nature.</w:t>
            </w:r>
          </w:p>
        </w:tc>
      </w:tr>
      <w:tr w:rsidR="00DC2362" w:rsidRPr="005F5624" w14:paraId="2DC8C1EC" w14:textId="77777777" w:rsidTr="004C7267">
        <w:trPr>
          <w:trHeight w:val="300"/>
        </w:trPr>
        <w:tc>
          <w:tcPr>
            <w:tcW w:w="2305" w:type="dxa"/>
            <w:tcBorders>
              <w:top w:val="nil"/>
              <w:left w:val="nil"/>
              <w:bottom w:val="nil"/>
              <w:right w:val="nil"/>
            </w:tcBorders>
            <w:shd w:val="clear" w:color="auto" w:fill="auto"/>
          </w:tcPr>
          <w:p w14:paraId="580C3733"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Unlawful conduct </w:t>
            </w:r>
          </w:p>
        </w:tc>
        <w:tc>
          <w:tcPr>
            <w:tcW w:w="6616" w:type="dxa"/>
            <w:tcBorders>
              <w:top w:val="nil"/>
              <w:left w:val="nil"/>
              <w:bottom w:val="nil"/>
              <w:right w:val="nil"/>
            </w:tcBorders>
            <w:shd w:val="clear" w:color="auto" w:fill="auto"/>
          </w:tcPr>
          <w:p w14:paraId="67AE88F3" w14:textId="77777777" w:rsidR="00DC2362" w:rsidRPr="005F5624" w:rsidRDefault="00DC2362" w:rsidP="004C7267">
            <w:pPr>
              <w:rPr>
                <w:rFonts w:ascii="Segoe UI" w:hAnsi="Segoe UI" w:cs="Segoe UI"/>
                <w:sz w:val="20"/>
                <w:szCs w:val="20"/>
              </w:rPr>
            </w:pPr>
            <w:r>
              <w:rPr>
                <w:rFonts w:ascii="Segoe UI" w:hAnsi="Segoe UI" w:cs="Segoe UI"/>
                <w:sz w:val="20"/>
                <w:szCs w:val="20"/>
              </w:rPr>
              <w:t>This is a</w:t>
            </w:r>
            <w:r w:rsidRPr="005F5624">
              <w:rPr>
                <w:rFonts w:ascii="Segoe UI" w:hAnsi="Segoe UI" w:cs="Segoe UI"/>
                <w:sz w:val="20"/>
                <w:szCs w:val="20"/>
              </w:rPr>
              <w:t>n umbrella term for discrimination, sexual harassment, bullying</w:t>
            </w:r>
            <w:r>
              <w:rPr>
                <w:rFonts w:ascii="Segoe UI" w:hAnsi="Segoe UI" w:cs="Segoe UI"/>
                <w:sz w:val="20"/>
                <w:szCs w:val="20"/>
              </w:rPr>
              <w:t xml:space="preserve"> and</w:t>
            </w:r>
            <w:r w:rsidRPr="005F5624">
              <w:rPr>
                <w:rFonts w:ascii="Segoe UI" w:hAnsi="Segoe UI" w:cs="Segoe UI"/>
                <w:sz w:val="20"/>
                <w:szCs w:val="20"/>
              </w:rPr>
              <w:t xml:space="preserve"> victimisation prohibited under the </w:t>
            </w:r>
            <w:r w:rsidRPr="00FF3751">
              <w:rPr>
                <w:rFonts w:ascii="Segoe UI" w:hAnsi="Segoe UI" w:cs="Segoe UI"/>
                <w:i/>
                <w:iCs/>
                <w:sz w:val="20"/>
                <w:szCs w:val="20"/>
              </w:rPr>
              <w:t>Equal Opportunity Act 2010</w:t>
            </w:r>
            <w:r w:rsidRPr="00340132">
              <w:rPr>
                <w:rFonts w:ascii="Segoe UI" w:hAnsi="Segoe UI" w:cs="Segoe UI"/>
                <w:sz w:val="20"/>
                <w:szCs w:val="20"/>
              </w:rPr>
              <w:t xml:space="preserve"> </w:t>
            </w:r>
            <w:r w:rsidRPr="005F5624">
              <w:rPr>
                <w:rFonts w:ascii="Segoe UI" w:hAnsi="Segoe UI" w:cs="Segoe UI"/>
                <w:sz w:val="20"/>
                <w:szCs w:val="20"/>
              </w:rPr>
              <w:t>(Vic).</w:t>
            </w:r>
          </w:p>
        </w:tc>
      </w:tr>
      <w:tr w:rsidR="00DC2362" w:rsidRPr="003C3C61" w14:paraId="38551E7E" w14:textId="77777777" w:rsidTr="004C7267">
        <w:trPr>
          <w:trHeight w:val="300"/>
        </w:trPr>
        <w:tc>
          <w:tcPr>
            <w:tcW w:w="2305" w:type="dxa"/>
            <w:tcBorders>
              <w:top w:val="nil"/>
              <w:left w:val="nil"/>
              <w:bottom w:val="nil"/>
              <w:right w:val="nil"/>
            </w:tcBorders>
            <w:shd w:val="clear" w:color="auto" w:fill="auto"/>
          </w:tcPr>
          <w:p w14:paraId="09C446F1"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Victimisation </w:t>
            </w:r>
          </w:p>
        </w:tc>
        <w:tc>
          <w:tcPr>
            <w:tcW w:w="6616" w:type="dxa"/>
            <w:tcBorders>
              <w:top w:val="nil"/>
              <w:left w:val="nil"/>
              <w:bottom w:val="nil"/>
              <w:right w:val="nil"/>
            </w:tcBorders>
            <w:shd w:val="clear" w:color="auto" w:fill="auto"/>
          </w:tcPr>
          <w:p w14:paraId="49E2349C"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Victimisation occurs when a person punishes or threatens to punish someone because they have asserted their rights under the </w:t>
            </w:r>
            <w:r w:rsidRPr="00215452">
              <w:rPr>
                <w:rFonts w:ascii="Segoe UI" w:hAnsi="Segoe UI" w:cs="Segoe UI"/>
                <w:i/>
                <w:iCs/>
                <w:sz w:val="20"/>
                <w:szCs w:val="20"/>
              </w:rPr>
              <w:t>Equal Opportunity Act 2010</w:t>
            </w:r>
            <w:r w:rsidRPr="005F5624">
              <w:rPr>
                <w:rFonts w:ascii="Segoe UI" w:hAnsi="Segoe UI" w:cs="Segoe UI"/>
                <w:sz w:val="20"/>
                <w:szCs w:val="20"/>
              </w:rPr>
              <w:t xml:space="preserve"> (Vic) by making a complaint (or it is believed they </w:t>
            </w:r>
            <w:r w:rsidRPr="005F5624">
              <w:rPr>
                <w:rFonts w:ascii="Segoe UI" w:hAnsi="Segoe UI" w:cs="Segoe UI"/>
                <w:sz w:val="20"/>
                <w:szCs w:val="20"/>
              </w:rPr>
              <w:lastRenderedPageBreak/>
              <w:t xml:space="preserve">intend to make a complaint); helped someone else to make a complaint; or refused to do something because it would be discrimination, sexual harassment or victimisation. </w:t>
            </w:r>
          </w:p>
          <w:p w14:paraId="06093332"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Examples include: </w:t>
            </w:r>
          </w:p>
          <w:p w14:paraId="29FDB592" w14:textId="77777777" w:rsidR="00DC2362" w:rsidRPr="005F5624" w:rsidRDefault="00DC2362" w:rsidP="00DC2362">
            <w:pPr>
              <w:pStyle w:val="ListParagraph"/>
              <w:numPr>
                <w:ilvl w:val="0"/>
                <w:numId w:val="10"/>
              </w:numPr>
              <w:rPr>
                <w:rFonts w:ascii="Segoe UI" w:hAnsi="Segoe UI" w:cs="Segoe UI"/>
                <w:sz w:val="20"/>
                <w:szCs w:val="20"/>
              </w:rPr>
            </w:pPr>
            <w:r w:rsidRPr="005F5624">
              <w:rPr>
                <w:rFonts w:ascii="Segoe UI" w:hAnsi="Segoe UI" w:cs="Segoe UI"/>
                <w:sz w:val="20"/>
                <w:szCs w:val="20"/>
              </w:rPr>
              <w:t xml:space="preserve">being denied progression and promotion opportunities </w:t>
            </w:r>
          </w:p>
          <w:p w14:paraId="052B628E" w14:textId="77777777" w:rsidR="00DC2362" w:rsidRPr="005F5624" w:rsidRDefault="00DC2362" w:rsidP="00DC2362">
            <w:pPr>
              <w:pStyle w:val="ListParagraph"/>
              <w:numPr>
                <w:ilvl w:val="0"/>
                <w:numId w:val="10"/>
              </w:numPr>
              <w:rPr>
                <w:rFonts w:ascii="Segoe UI" w:hAnsi="Segoe UI" w:cs="Segoe UI"/>
                <w:sz w:val="20"/>
                <w:szCs w:val="20"/>
              </w:rPr>
            </w:pPr>
            <w:r w:rsidRPr="005F5624">
              <w:rPr>
                <w:rFonts w:ascii="Segoe UI" w:hAnsi="Segoe UI" w:cs="Segoe UI"/>
                <w:sz w:val="20"/>
                <w:szCs w:val="20"/>
              </w:rPr>
              <w:t xml:space="preserve">experiencing verbal abuse and bullying </w:t>
            </w:r>
          </w:p>
          <w:p w14:paraId="6C70A41F" w14:textId="77777777" w:rsidR="00DC2362" w:rsidRPr="003C3C61" w:rsidRDefault="00DC2362" w:rsidP="00DC2362">
            <w:pPr>
              <w:pStyle w:val="ListParagraph"/>
              <w:numPr>
                <w:ilvl w:val="0"/>
                <w:numId w:val="10"/>
              </w:numPr>
              <w:rPr>
                <w:rFonts w:ascii="Segoe UI" w:hAnsi="Segoe UI" w:cs="Segoe UI"/>
                <w:sz w:val="20"/>
                <w:szCs w:val="20"/>
              </w:rPr>
            </w:pPr>
            <w:r w:rsidRPr="005F5624">
              <w:rPr>
                <w:rFonts w:ascii="Segoe UI" w:hAnsi="Segoe UI" w:cs="Segoe UI"/>
                <w:sz w:val="20"/>
                <w:szCs w:val="20"/>
              </w:rPr>
              <w:t>having work and performance subjected to excessive scrutiny.</w:t>
            </w:r>
          </w:p>
        </w:tc>
      </w:tr>
      <w:tr w:rsidR="00DC2362" w:rsidRPr="005F5624" w14:paraId="40C6F3D2" w14:textId="77777777" w:rsidTr="004C7267">
        <w:trPr>
          <w:trHeight w:val="300"/>
        </w:trPr>
        <w:tc>
          <w:tcPr>
            <w:tcW w:w="2305" w:type="dxa"/>
            <w:tcBorders>
              <w:top w:val="nil"/>
              <w:left w:val="nil"/>
              <w:bottom w:val="nil"/>
              <w:right w:val="nil"/>
            </w:tcBorders>
            <w:shd w:val="clear" w:color="auto" w:fill="auto"/>
          </w:tcPr>
          <w:p w14:paraId="347F8A89"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lastRenderedPageBreak/>
              <w:t>Workforce survey respondent</w:t>
            </w:r>
          </w:p>
        </w:tc>
        <w:tc>
          <w:tcPr>
            <w:tcW w:w="6616" w:type="dxa"/>
            <w:tcBorders>
              <w:top w:val="nil"/>
              <w:left w:val="nil"/>
              <w:bottom w:val="nil"/>
              <w:right w:val="nil"/>
            </w:tcBorders>
            <w:shd w:val="clear" w:color="auto" w:fill="auto"/>
          </w:tcPr>
          <w:p w14:paraId="1BF27D8B" w14:textId="77777777" w:rsidR="00DC2362" w:rsidRPr="005F5624" w:rsidRDefault="00DC2362" w:rsidP="004C7267">
            <w:pPr>
              <w:rPr>
                <w:rFonts w:ascii="Segoe UI" w:hAnsi="Segoe UI" w:cs="Segoe UI"/>
                <w:sz w:val="20"/>
                <w:szCs w:val="20"/>
              </w:rPr>
            </w:pPr>
            <w:r w:rsidRPr="005F5624">
              <w:rPr>
                <w:rFonts w:ascii="Segoe UI" w:hAnsi="Segoe UI" w:cs="Segoe UI"/>
                <w:sz w:val="20"/>
                <w:szCs w:val="20"/>
              </w:rPr>
              <w:t xml:space="preserve">This term is used in the </w:t>
            </w:r>
            <w:r>
              <w:rPr>
                <w:rFonts w:ascii="Segoe UI" w:hAnsi="Segoe UI" w:cs="Segoe UI"/>
                <w:sz w:val="20"/>
                <w:szCs w:val="20"/>
              </w:rPr>
              <w:t>R</w:t>
            </w:r>
            <w:r w:rsidRPr="005F5624">
              <w:rPr>
                <w:rFonts w:ascii="Segoe UI" w:hAnsi="Segoe UI" w:cs="Segoe UI"/>
                <w:sz w:val="20"/>
                <w:szCs w:val="20"/>
              </w:rPr>
              <w:t xml:space="preserve">eport to refer to </w:t>
            </w:r>
            <w:r>
              <w:rPr>
                <w:rFonts w:ascii="Segoe UI" w:hAnsi="Segoe UI" w:cs="Segoe UI"/>
                <w:sz w:val="20"/>
                <w:szCs w:val="20"/>
              </w:rPr>
              <w:t>a person who responded to</w:t>
            </w:r>
            <w:r w:rsidRPr="005F5624">
              <w:rPr>
                <w:rFonts w:ascii="Segoe UI" w:hAnsi="Segoe UI" w:cs="Segoe UI"/>
                <w:sz w:val="20"/>
                <w:szCs w:val="20"/>
              </w:rPr>
              <w:t xml:space="preserve"> the workforce survey that was open to current Ambulance Victoria employees and first responders between 14 June and 7 July 2024.</w:t>
            </w:r>
          </w:p>
        </w:tc>
      </w:tr>
    </w:tbl>
    <w:p w14:paraId="258296EB" w14:textId="2780E8EB" w:rsidR="006D056D" w:rsidRDefault="006D056D"/>
    <w:sectPr w:rsidR="006D05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373E"/>
    <w:multiLevelType w:val="multilevel"/>
    <w:tmpl w:val="F932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362BE"/>
    <w:multiLevelType w:val="multilevel"/>
    <w:tmpl w:val="B57A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D3D27"/>
    <w:multiLevelType w:val="hybridMultilevel"/>
    <w:tmpl w:val="A5F089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8B42B63"/>
    <w:multiLevelType w:val="hybridMultilevel"/>
    <w:tmpl w:val="BD0C23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7B858FC"/>
    <w:multiLevelType w:val="multilevel"/>
    <w:tmpl w:val="233E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6021B0"/>
    <w:multiLevelType w:val="hybridMultilevel"/>
    <w:tmpl w:val="0D3025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2237724"/>
    <w:multiLevelType w:val="multilevel"/>
    <w:tmpl w:val="E1A2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E64C9F"/>
    <w:multiLevelType w:val="multilevel"/>
    <w:tmpl w:val="8DE2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73152"/>
    <w:multiLevelType w:val="multilevel"/>
    <w:tmpl w:val="C67E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D70A60"/>
    <w:multiLevelType w:val="multilevel"/>
    <w:tmpl w:val="5ED0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6603504">
    <w:abstractNumId w:val="9"/>
  </w:num>
  <w:num w:numId="2" w16cid:durableId="602569293">
    <w:abstractNumId w:val="1"/>
  </w:num>
  <w:num w:numId="3" w16cid:durableId="983583815">
    <w:abstractNumId w:val="7"/>
  </w:num>
  <w:num w:numId="4" w16cid:durableId="1609661643">
    <w:abstractNumId w:val="6"/>
  </w:num>
  <w:num w:numId="5" w16cid:durableId="222102609">
    <w:abstractNumId w:val="0"/>
  </w:num>
  <w:num w:numId="6" w16cid:durableId="1829054613">
    <w:abstractNumId w:val="4"/>
  </w:num>
  <w:num w:numId="7" w16cid:durableId="338392652">
    <w:abstractNumId w:val="8"/>
  </w:num>
  <w:num w:numId="8" w16cid:durableId="1907301872">
    <w:abstractNumId w:val="3"/>
  </w:num>
  <w:num w:numId="9" w16cid:durableId="128010592">
    <w:abstractNumId w:val="5"/>
  </w:num>
  <w:num w:numId="10" w16cid:durableId="1714308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62"/>
    <w:rsid w:val="001F5514"/>
    <w:rsid w:val="006D056D"/>
    <w:rsid w:val="00D26D74"/>
    <w:rsid w:val="00D42594"/>
    <w:rsid w:val="00DC2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3CF7"/>
  <w15:chartTrackingRefBased/>
  <w15:docId w15:val="{4E513CEB-74C3-4A6C-801C-FF1BDCDA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362"/>
  </w:style>
  <w:style w:type="paragraph" w:styleId="Heading1">
    <w:name w:val="heading 1"/>
    <w:basedOn w:val="Normal"/>
    <w:next w:val="Normal"/>
    <w:link w:val="Heading1Char"/>
    <w:qFormat/>
    <w:rsid w:val="00DC2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2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23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3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3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3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3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3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3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3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23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23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3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3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362"/>
    <w:rPr>
      <w:rFonts w:eastAsiaTheme="majorEastAsia" w:cstheme="majorBidi"/>
      <w:color w:val="272727" w:themeColor="text1" w:themeTint="D8"/>
    </w:rPr>
  </w:style>
  <w:style w:type="paragraph" w:styleId="Title">
    <w:name w:val="Title"/>
    <w:basedOn w:val="Normal"/>
    <w:next w:val="Normal"/>
    <w:link w:val="TitleChar"/>
    <w:uiPriority w:val="10"/>
    <w:qFormat/>
    <w:rsid w:val="00DC2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3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362"/>
    <w:pPr>
      <w:spacing w:before="160"/>
      <w:jc w:val="center"/>
    </w:pPr>
    <w:rPr>
      <w:i/>
      <w:iCs/>
      <w:color w:val="404040" w:themeColor="text1" w:themeTint="BF"/>
    </w:rPr>
  </w:style>
  <w:style w:type="character" w:customStyle="1" w:styleId="QuoteChar">
    <w:name w:val="Quote Char"/>
    <w:basedOn w:val="DefaultParagraphFont"/>
    <w:link w:val="Quote"/>
    <w:uiPriority w:val="29"/>
    <w:rsid w:val="00DC2362"/>
    <w:rPr>
      <w:i/>
      <w:iCs/>
      <w:color w:val="404040" w:themeColor="text1" w:themeTint="BF"/>
    </w:rPr>
  </w:style>
  <w:style w:type="paragraph" w:styleId="ListParagraph">
    <w:name w:val="List Paragraph"/>
    <w:aliases w:val="Bullet number"/>
    <w:basedOn w:val="Normal"/>
    <w:uiPriority w:val="99"/>
    <w:qFormat/>
    <w:rsid w:val="00DC2362"/>
    <w:pPr>
      <w:ind w:left="720"/>
      <w:contextualSpacing/>
    </w:pPr>
  </w:style>
  <w:style w:type="character" w:styleId="IntenseEmphasis">
    <w:name w:val="Intense Emphasis"/>
    <w:basedOn w:val="DefaultParagraphFont"/>
    <w:uiPriority w:val="21"/>
    <w:qFormat/>
    <w:rsid w:val="00DC2362"/>
    <w:rPr>
      <w:i/>
      <w:iCs/>
      <w:color w:val="0F4761" w:themeColor="accent1" w:themeShade="BF"/>
    </w:rPr>
  </w:style>
  <w:style w:type="paragraph" w:styleId="IntenseQuote">
    <w:name w:val="Intense Quote"/>
    <w:basedOn w:val="Normal"/>
    <w:next w:val="Normal"/>
    <w:link w:val="IntenseQuoteChar"/>
    <w:uiPriority w:val="30"/>
    <w:qFormat/>
    <w:rsid w:val="00DC2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362"/>
    <w:rPr>
      <w:i/>
      <w:iCs/>
      <w:color w:val="0F4761" w:themeColor="accent1" w:themeShade="BF"/>
    </w:rPr>
  </w:style>
  <w:style w:type="character" w:styleId="IntenseReference">
    <w:name w:val="Intense Reference"/>
    <w:basedOn w:val="DefaultParagraphFont"/>
    <w:uiPriority w:val="32"/>
    <w:qFormat/>
    <w:rsid w:val="00DC2362"/>
    <w:rPr>
      <w:b/>
      <w:bCs/>
      <w:smallCaps/>
      <w:color w:val="0F4761" w:themeColor="accent1" w:themeShade="BF"/>
      <w:spacing w:val="5"/>
    </w:rPr>
  </w:style>
  <w:style w:type="paragraph" w:customStyle="1" w:styleId="paragraph">
    <w:name w:val="paragraph"/>
    <w:basedOn w:val="Normal"/>
    <w:rsid w:val="00DC236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xsi:nil="true"/>
    <Notes xmlns="ce9ed8c2-7c4f-476e-aabf-c40a33b19a18" xsi:nil="true"/>
  </documentManagement>
</p:properties>
</file>

<file path=customXml/itemProps1.xml><?xml version="1.0" encoding="utf-8"?>
<ds:datastoreItem xmlns:ds="http://schemas.openxmlformats.org/officeDocument/2006/customXml" ds:itemID="{6F813DDD-869A-48A2-83BF-721AA38D3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EC56C-DF13-4671-8573-D0F1DEECA868}">
  <ds:schemaRefs>
    <ds:schemaRef ds:uri="http://schemas.microsoft.com/sharepoint/v3/contenttype/forms"/>
  </ds:schemaRefs>
</ds:datastoreItem>
</file>

<file path=customXml/itemProps3.xml><?xml version="1.0" encoding="utf-8"?>
<ds:datastoreItem xmlns:ds="http://schemas.openxmlformats.org/officeDocument/2006/customXml" ds:itemID="{8CDF8426-7757-44CA-897E-EB8DAE1C962C}">
  <ds:schemaRefs>
    <ds:schemaRef ds:uri="http://schemas.microsoft.com/office/2006/documentManagement/types"/>
    <ds:schemaRef ds:uri="http://purl.org/dc/elements/1.1/"/>
    <ds:schemaRef ds:uri="http://schemas.openxmlformats.org/package/2006/metadata/core-properties"/>
    <ds:schemaRef ds:uri="c797cc59-9b55-482b-909b-1e567b47f3ea"/>
    <ds:schemaRef ds:uri="http://schemas.microsoft.com/office/infopath/2007/PartnerControls"/>
    <ds:schemaRef ds:uri="http://purl.org/dc/terms/"/>
    <ds:schemaRef ds:uri="ce9ed8c2-7c4f-476e-aabf-c40a33b19a18"/>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1</cp:revision>
  <dcterms:created xsi:type="dcterms:W3CDTF">2025-01-08T00:40:00Z</dcterms:created>
  <dcterms:modified xsi:type="dcterms:W3CDTF">2025-01-08T00:40:00Z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