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346C4" w14:textId="77777777" w:rsidR="00FB3957" w:rsidRPr="00EF0705" w:rsidRDefault="00FB3957" w:rsidP="00FB3957">
      <w:pPr>
        <w:pStyle w:val="Heading1"/>
      </w:pPr>
      <w:bookmarkStart w:id="0" w:name="_Toc184136068"/>
      <w:r w:rsidRPr="00EB77DC">
        <w:t>Recommendation 12: Supporting robust governance and oversight of reforms</w:t>
      </w:r>
      <w:bookmarkEnd w:id="0"/>
    </w:p>
    <w:p w14:paraId="31DEA0C0" w14:textId="77777777" w:rsidR="00FB3957" w:rsidRPr="00372A56" w:rsidRDefault="00FB3957" w:rsidP="00FB3957">
      <w:pPr>
        <w:spacing w:line="276" w:lineRule="auto"/>
        <w:rPr>
          <w:rFonts w:ascii="Segoe UI" w:hAnsi="Segoe UI" w:cs="Segoe UI"/>
        </w:rPr>
      </w:pPr>
      <w:r>
        <w:rPr>
          <w:rFonts w:ascii="Segoe UI" w:hAnsi="Segoe UI" w:cs="Segoe UI"/>
        </w:rPr>
        <w:t xml:space="preserve">Recommendation 12 requires Ambulance Victoria to establish a steering committee of specified internal and external representatives to monitor and oversee implementation of the Commission’s recommendations and broader organisational reforms. </w:t>
      </w:r>
    </w:p>
    <w:p w14:paraId="44C9AD88" w14:textId="77777777" w:rsidR="00FB3957" w:rsidRPr="00635382" w:rsidRDefault="00FB3957" w:rsidP="00FB3957">
      <w:pPr>
        <w:pStyle w:val="Heading2"/>
      </w:pPr>
      <w:bookmarkStart w:id="1" w:name="_Toc184117635"/>
      <w:bookmarkStart w:id="2" w:name="_Toc184136070"/>
      <w:r>
        <w:t>R</w:t>
      </w:r>
      <w:r w:rsidRPr="00EF0705">
        <w:t>ecommendation</w:t>
      </w:r>
      <w:r>
        <w:t xml:space="preserve"> intent and why it</w:t>
      </w:r>
      <w:r w:rsidRPr="00EF0705">
        <w:t xml:space="preserve"> matters</w:t>
      </w:r>
      <w:bookmarkEnd w:id="1"/>
      <w:bookmarkEnd w:id="2"/>
    </w:p>
    <w:p w14:paraId="081314B3" w14:textId="77777777" w:rsidR="00FB3957" w:rsidRDefault="00FB3957" w:rsidP="00FB3957">
      <w:pPr>
        <w:spacing w:line="276" w:lineRule="auto"/>
        <w:rPr>
          <w:rFonts w:ascii="Segoe UI" w:hAnsi="Segoe UI" w:cs="Segoe UI"/>
        </w:rPr>
      </w:pPr>
      <w:r>
        <w:rPr>
          <w:rFonts w:ascii="Segoe UI" w:hAnsi="Segoe UI" w:cs="Segoe UI"/>
        </w:rPr>
        <w:t>The steering committee of internal and external experts is intended to:</w:t>
      </w:r>
    </w:p>
    <w:p w14:paraId="5F0DC5C8" w14:textId="77777777" w:rsidR="00FB3957" w:rsidRDefault="00FB3957" w:rsidP="00FB3957">
      <w:pPr>
        <w:pStyle w:val="ListParagraph"/>
        <w:numPr>
          <w:ilvl w:val="0"/>
          <w:numId w:val="1"/>
        </w:numPr>
        <w:rPr>
          <w:rFonts w:ascii="Segoe UI" w:hAnsi="Segoe UI" w:cs="Segoe UI"/>
        </w:rPr>
      </w:pPr>
      <w:r>
        <w:rPr>
          <w:rFonts w:ascii="Segoe UI" w:hAnsi="Segoe UI" w:cs="Segoe UI"/>
        </w:rPr>
        <w:t>form part</w:t>
      </w:r>
      <w:r w:rsidRPr="00BB68EB">
        <w:rPr>
          <w:rFonts w:ascii="Segoe UI" w:hAnsi="Segoe UI" w:cs="Segoe UI"/>
        </w:rPr>
        <w:t xml:space="preserve"> </w:t>
      </w:r>
      <w:r w:rsidRPr="00E7729D">
        <w:rPr>
          <w:rFonts w:ascii="Segoe UI" w:hAnsi="Segoe UI" w:cs="Segoe UI"/>
        </w:rPr>
        <w:t>of a governance structure that will support and drive effective implementation of the Commission’s recommendations</w:t>
      </w:r>
    </w:p>
    <w:p w14:paraId="2E6970AF" w14:textId="77777777" w:rsidR="00FB3957" w:rsidRDefault="00FB3957" w:rsidP="00FB3957">
      <w:pPr>
        <w:pStyle w:val="ListParagraph"/>
        <w:numPr>
          <w:ilvl w:val="0"/>
          <w:numId w:val="1"/>
        </w:numPr>
        <w:rPr>
          <w:rFonts w:ascii="Segoe UI" w:hAnsi="Segoe UI" w:cs="Segoe UI"/>
        </w:rPr>
      </w:pPr>
      <w:r>
        <w:rPr>
          <w:rFonts w:ascii="Segoe UI" w:hAnsi="Segoe UI" w:cs="Segoe UI"/>
        </w:rPr>
        <w:t xml:space="preserve">be a </w:t>
      </w:r>
      <w:r w:rsidRPr="00E7729D">
        <w:rPr>
          <w:rFonts w:ascii="Segoe UI" w:hAnsi="Segoe UI" w:cs="Segoe UI"/>
        </w:rPr>
        <w:t>forum for monitoring and oversight of the progress of reforms</w:t>
      </w:r>
      <w:r>
        <w:rPr>
          <w:rFonts w:ascii="Segoe UI" w:hAnsi="Segoe UI" w:cs="Segoe UI"/>
        </w:rPr>
        <w:t xml:space="preserve"> and discussion of </w:t>
      </w:r>
      <w:r w:rsidRPr="00E7729D">
        <w:rPr>
          <w:rFonts w:ascii="Segoe UI" w:hAnsi="Segoe UI" w:cs="Segoe UI"/>
        </w:rPr>
        <w:t>any areas of concern relating to implementation</w:t>
      </w:r>
    </w:p>
    <w:p w14:paraId="1E14BA0D" w14:textId="77777777" w:rsidR="00FB3957" w:rsidRDefault="00FB3957" w:rsidP="00FB3957">
      <w:pPr>
        <w:pStyle w:val="ListParagraph"/>
        <w:numPr>
          <w:ilvl w:val="0"/>
          <w:numId w:val="1"/>
        </w:numPr>
        <w:rPr>
          <w:rFonts w:ascii="Segoe UI" w:hAnsi="Segoe UI" w:cs="Segoe UI"/>
        </w:rPr>
      </w:pPr>
      <w:r>
        <w:rPr>
          <w:rFonts w:ascii="Segoe UI" w:hAnsi="Segoe UI" w:cs="Segoe UI"/>
        </w:rPr>
        <w:t xml:space="preserve">be an </w:t>
      </w:r>
      <w:r w:rsidRPr="00E7729D">
        <w:rPr>
          <w:rFonts w:ascii="Segoe UI" w:hAnsi="Segoe UI" w:cs="Segoe UI"/>
        </w:rPr>
        <w:t>avenue for advice and guidance on reforms and projects to ensure they align with the intent of the Commission’s recommendations</w:t>
      </w:r>
    </w:p>
    <w:p w14:paraId="1C323B59" w14:textId="77777777" w:rsidR="00FB3957" w:rsidRPr="003F6701" w:rsidRDefault="00FB3957" w:rsidP="00FB3957">
      <w:pPr>
        <w:pStyle w:val="ListParagraph"/>
        <w:numPr>
          <w:ilvl w:val="0"/>
          <w:numId w:val="1"/>
        </w:numPr>
        <w:rPr>
          <w:rFonts w:ascii="Segoe UI" w:hAnsi="Segoe UI" w:cs="Segoe UI"/>
        </w:rPr>
      </w:pPr>
      <w:r w:rsidRPr="009033DB">
        <w:rPr>
          <w:rFonts w:ascii="Segoe UI" w:hAnsi="Segoe UI" w:cs="Segoe UI"/>
        </w:rPr>
        <w:t>ensure accountability and continued improvement towards workplace equality</w:t>
      </w:r>
      <w:r>
        <w:rPr>
          <w:rFonts w:ascii="Segoe UI" w:hAnsi="Segoe UI" w:cs="Segoe UI"/>
        </w:rPr>
        <w:t xml:space="preserve"> to </w:t>
      </w:r>
      <w:r w:rsidRPr="009033DB">
        <w:rPr>
          <w:rFonts w:ascii="Segoe UI" w:hAnsi="Segoe UI" w:cs="Segoe UI"/>
        </w:rPr>
        <w:t xml:space="preserve">help Ambulance Victoria to prevent, identify and respond to unlawful conduct in line with the </w:t>
      </w:r>
      <w:r w:rsidRPr="003F6701">
        <w:rPr>
          <w:rFonts w:ascii="Segoe UI" w:hAnsi="Segoe UI" w:cs="Segoe UI"/>
          <w:i/>
          <w:iCs/>
        </w:rPr>
        <w:t>Equal Opportunity Act 2010</w:t>
      </w:r>
      <w:r>
        <w:rPr>
          <w:rFonts w:ascii="Segoe UI" w:hAnsi="Segoe UI" w:cs="Segoe UI"/>
        </w:rPr>
        <w:t xml:space="preserve"> (Vic) </w:t>
      </w:r>
      <w:r w:rsidRPr="009033DB">
        <w:rPr>
          <w:rFonts w:ascii="Segoe UI" w:hAnsi="Segoe UI" w:cs="Segoe UI"/>
        </w:rPr>
        <w:t>and other legal obligations.</w:t>
      </w:r>
    </w:p>
    <w:p w14:paraId="4E1B88C4" w14:textId="77777777" w:rsidR="00FB3957" w:rsidRPr="00EF0705" w:rsidRDefault="00FB3957" w:rsidP="00FB3957">
      <w:pPr>
        <w:pStyle w:val="Heading2"/>
      </w:pPr>
      <w:bookmarkStart w:id="3" w:name="_Toc184117636"/>
      <w:bookmarkStart w:id="4" w:name="_Toc184136071"/>
      <w:r w:rsidRPr="00EF0705">
        <w:t>Findings</w:t>
      </w:r>
      <w:bookmarkEnd w:id="3"/>
      <w:bookmarkEnd w:id="4"/>
    </w:p>
    <w:p w14:paraId="115AB354" w14:textId="77777777" w:rsidR="00FB3957" w:rsidRPr="00EF0705" w:rsidRDefault="00FB3957" w:rsidP="00FB3957">
      <w:pPr>
        <w:pStyle w:val="Heading3"/>
      </w:pPr>
      <w:bookmarkStart w:id="5" w:name="_Toc184117637"/>
      <w:bookmarkStart w:id="6" w:name="_Toc184136072"/>
      <w:r w:rsidRPr="00EF0705">
        <w:t xml:space="preserve">What we found in </w:t>
      </w:r>
      <w:r>
        <w:t>Phase 1 of the Review</w:t>
      </w:r>
      <w:bookmarkEnd w:id="5"/>
      <w:bookmarkEnd w:id="6"/>
    </w:p>
    <w:p w14:paraId="5F9E551C" w14:textId="77777777" w:rsidR="00FB3957" w:rsidRPr="009A5401" w:rsidRDefault="00FB3957" w:rsidP="00FB3957">
      <w:pPr>
        <w:spacing w:line="276" w:lineRule="auto"/>
        <w:rPr>
          <w:rFonts w:ascii="Segoe UI" w:hAnsi="Segoe UI" w:cs="Segoe UI"/>
          <w:bCs/>
          <w:u w:val="single"/>
        </w:rPr>
      </w:pPr>
      <w:r>
        <w:rPr>
          <w:rFonts w:ascii="Segoe UI" w:hAnsi="Segoe UI" w:cs="Segoe UI"/>
          <w:bCs/>
        </w:rPr>
        <w:t xml:space="preserve">The Commission </w:t>
      </w:r>
      <w:r w:rsidRPr="00372A56">
        <w:rPr>
          <w:rFonts w:ascii="Segoe UI" w:hAnsi="Segoe UI" w:cs="Segoe UI"/>
        </w:rPr>
        <w:t>found</w:t>
      </w:r>
      <w:r>
        <w:rPr>
          <w:rFonts w:ascii="Segoe UI" w:hAnsi="Segoe UI" w:cs="Segoe UI"/>
          <w:bCs/>
        </w:rPr>
        <w:t xml:space="preserve"> that a</w:t>
      </w:r>
      <w:r w:rsidRPr="00C744A3">
        <w:rPr>
          <w:rFonts w:ascii="Segoe UI" w:hAnsi="Segoe UI" w:cs="Segoe UI"/>
          <w:bCs/>
        </w:rPr>
        <w:t xml:space="preserve"> dedicated steering committee </w:t>
      </w:r>
      <w:r>
        <w:rPr>
          <w:rFonts w:ascii="Segoe UI" w:hAnsi="Segoe UI" w:cs="Segoe UI"/>
          <w:bCs/>
        </w:rPr>
        <w:t>would</w:t>
      </w:r>
      <w:r w:rsidRPr="00C744A3">
        <w:rPr>
          <w:rFonts w:ascii="Segoe UI" w:hAnsi="Segoe UI" w:cs="Segoe UI"/>
          <w:bCs/>
        </w:rPr>
        <w:t xml:space="preserve"> be important to provide ownership and responsibility for implementation</w:t>
      </w:r>
      <w:r>
        <w:rPr>
          <w:rFonts w:ascii="Segoe UI" w:hAnsi="Segoe UI" w:cs="Segoe UI"/>
          <w:bCs/>
        </w:rPr>
        <w:t xml:space="preserve"> and </w:t>
      </w:r>
      <w:r w:rsidRPr="00C744A3">
        <w:rPr>
          <w:rFonts w:ascii="Segoe UI" w:hAnsi="Segoe UI" w:cs="Segoe UI"/>
          <w:bCs/>
        </w:rPr>
        <w:t>a singular line of oversight over reforms</w:t>
      </w:r>
      <w:r>
        <w:rPr>
          <w:rFonts w:ascii="Segoe UI" w:hAnsi="Segoe UI" w:cs="Segoe UI"/>
          <w:bCs/>
        </w:rPr>
        <w:t>.</w:t>
      </w:r>
      <w:r>
        <w:rPr>
          <w:rStyle w:val="FootnoteReference"/>
          <w:rFonts w:ascii="Segoe UI" w:hAnsi="Segoe UI" w:cs="Segoe UI"/>
        </w:rPr>
        <w:footnoteReference w:id="2"/>
      </w:r>
      <w:r w:rsidRPr="00C744A3">
        <w:rPr>
          <w:rFonts w:ascii="Segoe UI" w:hAnsi="Segoe UI" w:cs="Segoe UI"/>
          <w:bCs/>
        </w:rPr>
        <w:t xml:space="preserve"> </w:t>
      </w:r>
      <w:r>
        <w:rPr>
          <w:rFonts w:ascii="Segoe UI" w:hAnsi="Segoe UI" w:cs="Segoe UI"/>
          <w:bCs/>
        </w:rPr>
        <w:t xml:space="preserve">See section 6.2.7 of the </w:t>
      </w:r>
      <w:r w:rsidRPr="00FB3957">
        <w:rPr>
          <w:rFonts w:ascii="Segoe UI" w:hAnsi="Segoe UI" w:cs="Segoe UI"/>
          <w:bCs/>
          <w:color w:val="0000FF"/>
          <w:u w:val="single"/>
        </w:rPr>
        <w:t>Phase 1 Report</w:t>
      </w:r>
      <w:r w:rsidRPr="009A5401">
        <w:rPr>
          <w:rFonts w:ascii="Segoe UI" w:hAnsi="Segoe UI" w:cs="Segoe UI"/>
          <w:bCs/>
        </w:rPr>
        <w:t>.</w:t>
      </w:r>
    </w:p>
    <w:p w14:paraId="58340AD5" w14:textId="77777777" w:rsidR="00FB3957" w:rsidRPr="00372A56" w:rsidRDefault="00FB3957" w:rsidP="00FB3957">
      <w:pPr>
        <w:spacing w:line="276" w:lineRule="auto"/>
        <w:rPr>
          <w:rFonts w:ascii="Segoe UI" w:hAnsi="Segoe UI" w:cs="Segoe UI"/>
        </w:rPr>
      </w:pPr>
      <w:r w:rsidRPr="00372A56">
        <w:rPr>
          <w:rFonts w:ascii="Segoe UI" w:hAnsi="Segoe UI" w:cs="Segoe UI"/>
        </w:rPr>
        <w:t>The Commission considered that key organisational executives should be part of the steering committee to support the organisation-wide approach and reinforce the responsibility of all senior leaders for workplace equality.</w:t>
      </w:r>
    </w:p>
    <w:p w14:paraId="5F906A4A" w14:textId="77777777" w:rsidR="00FB3957" w:rsidRPr="00372A56" w:rsidRDefault="00FB3957" w:rsidP="00FB3957">
      <w:pPr>
        <w:spacing w:line="276" w:lineRule="auto"/>
        <w:rPr>
          <w:rFonts w:ascii="Segoe UI" w:hAnsi="Segoe UI" w:cs="Segoe UI"/>
        </w:rPr>
      </w:pPr>
      <w:r w:rsidRPr="00372A56">
        <w:rPr>
          <w:rFonts w:ascii="Segoe UI" w:hAnsi="Segoe UI" w:cs="Segoe UI"/>
        </w:rPr>
        <w:t>Collaboration and effective stakeholder engagement are necessary for effective reform implementation. The Commission considered that employee and first responder representatives should be involved in the steering committee to contribute perspectives and support the transparency of workforce reforms.</w:t>
      </w:r>
    </w:p>
    <w:p w14:paraId="424A7BB7" w14:textId="77777777" w:rsidR="00FB3957" w:rsidRPr="00372A56" w:rsidRDefault="00FB3957" w:rsidP="00FB3957">
      <w:pPr>
        <w:spacing w:line="276" w:lineRule="auto"/>
        <w:rPr>
          <w:rFonts w:ascii="Segoe UI" w:hAnsi="Segoe UI" w:cs="Segoe UI"/>
        </w:rPr>
      </w:pPr>
      <w:r w:rsidRPr="00372A56">
        <w:rPr>
          <w:rFonts w:ascii="Segoe UI" w:hAnsi="Segoe UI" w:cs="Segoe UI"/>
        </w:rPr>
        <w:t>Given the critical role that unions, professional associations and the Department of Health play in supporting Ambulance Victoria’s efforts to better prevent and respond to unlawful and harmful conduct, these organisations should be part of the steering committee.</w:t>
      </w:r>
    </w:p>
    <w:p w14:paraId="3E78E55C" w14:textId="77777777" w:rsidR="00FB3957" w:rsidRPr="00372A56" w:rsidRDefault="00FB3957" w:rsidP="00FB3957">
      <w:pPr>
        <w:spacing w:line="276" w:lineRule="auto"/>
        <w:rPr>
          <w:rFonts w:ascii="Segoe UI" w:hAnsi="Segoe UI" w:cs="Segoe UI"/>
        </w:rPr>
      </w:pPr>
      <w:r w:rsidRPr="00372A56">
        <w:rPr>
          <w:rFonts w:ascii="Segoe UI" w:hAnsi="Segoe UI" w:cs="Segoe UI"/>
        </w:rPr>
        <w:lastRenderedPageBreak/>
        <w:t>Given the breadth, complexity and wide-ranging nature of our recommendations, the Commission considered that there would be significant benefit in ensuring the steering committee is equipped with senior external perspectives and expertise in leading practice responses to equal opportunity issues, responses to bullying, restorative engagement and restorative practices, as well as organisational development and change.</w:t>
      </w:r>
    </w:p>
    <w:p w14:paraId="3F03D802" w14:textId="77777777" w:rsidR="00FB3957" w:rsidRPr="00EF0705" w:rsidRDefault="00FB3957" w:rsidP="00FB3957">
      <w:pPr>
        <w:pStyle w:val="Heading3"/>
      </w:pPr>
      <w:bookmarkStart w:id="7" w:name="_Toc184117638"/>
      <w:bookmarkStart w:id="8" w:name="_Toc184136073"/>
      <w:r w:rsidRPr="00EF0705">
        <w:t xml:space="preserve">What we found in </w:t>
      </w:r>
      <w:r>
        <w:t>Phase 3 of the Review</w:t>
      </w:r>
      <w:bookmarkEnd w:id="7"/>
      <w:bookmarkEnd w:id="8"/>
    </w:p>
    <w:p w14:paraId="1182998C" w14:textId="77777777" w:rsidR="00FB3957" w:rsidRPr="00FC7AFB" w:rsidRDefault="00FB3957" w:rsidP="00FB3957">
      <w:pPr>
        <w:pStyle w:val="paragraph"/>
        <w:spacing w:before="0" w:beforeAutospacing="0" w:after="0" w:afterAutospacing="0" w:line="276" w:lineRule="auto"/>
        <w:textAlignment w:val="baseline"/>
        <w:rPr>
          <w:rFonts w:ascii="Segoe UI" w:eastAsiaTheme="majorEastAsia" w:hAnsi="Segoe UI" w:cs="Segoe UI"/>
          <w:b/>
          <w:bCs/>
          <w:sz w:val="22"/>
          <w:szCs w:val="22"/>
        </w:rPr>
      </w:pPr>
      <w:r>
        <w:rPr>
          <w:rStyle w:val="normaltextrun"/>
          <w:rFonts w:ascii="Segoe UI" w:eastAsiaTheme="majorEastAsia" w:hAnsi="Segoe UI" w:cs="Segoe UI"/>
          <w:b/>
          <w:bCs/>
          <w:sz w:val="22"/>
          <w:szCs w:val="22"/>
        </w:rPr>
        <w:t>Ambulance Victoria had changed its workplace reform governance structure several times since the Commission’s Phase 1 Report</w:t>
      </w:r>
    </w:p>
    <w:p w14:paraId="5A495B03" w14:textId="77777777" w:rsidR="00FB3957" w:rsidRPr="009A5401" w:rsidRDefault="00FB3957" w:rsidP="00FB3957">
      <w:pPr>
        <w:spacing w:line="276" w:lineRule="auto"/>
        <w:rPr>
          <w:rFonts w:ascii="Segoe UI" w:hAnsi="Segoe UI" w:cs="Segoe UI"/>
        </w:rPr>
      </w:pPr>
      <w:r w:rsidRPr="009A5401">
        <w:rPr>
          <w:rFonts w:ascii="Segoe UI" w:hAnsi="Segoe UI" w:cs="Segoe UI"/>
        </w:rPr>
        <w:t xml:space="preserve">In January 2022, Ambulance Victoria established </w:t>
      </w:r>
      <w:r w:rsidRPr="00D52208">
        <w:rPr>
          <w:rFonts w:ascii="Segoe UI" w:hAnsi="Segoe UI" w:cs="Segoe UI"/>
        </w:rPr>
        <w:t xml:space="preserve">the Equality </w:t>
      </w:r>
      <w:r>
        <w:rPr>
          <w:rFonts w:ascii="Segoe UI" w:hAnsi="Segoe UI" w:cs="Segoe UI"/>
        </w:rPr>
        <w:t>and</w:t>
      </w:r>
      <w:r w:rsidRPr="00D52208">
        <w:rPr>
          <w:rFonts w:ascii="Segoe UI" w:hAnsi="Segoe UI" w:cs="Segoe UI"/>
        </w:rPr>
        <w:t xml:space="preserve"> Workplace Reform Steering Committee of internal and external experts including union representatives. The Committee was responsible for managing risk, resolving issues, coordinating dependencies and decision</w:t>
      </w:r>
      <w:r>
        <w:rPr>
          <w:rFonts w:ascii="Segoe UI" w:hAnsi="Segoe UI" w:cs="Segoe UI"/>
        </w:rPr>
        <w:t>-</w:t>
      </w:r>
      <w:r w:rsidRPr="00D52208">
        <w:rPr>
          <w:rFonts w:ascii="Segoe UI" w:hAnsi="Segoe UI" w:cs="Segoe UI"/>
        </w:rPr>
        <w:t>making as required to facilitate successful project delivery.</w:t>
      </w:r>
    </w:p>
    <w:p w14:paraId="4B35630C" w14:textId="77777777" w:rsidR="00FB3957" w:rsidRPr="00FC7AFB" w:rsidRDefault="00FB3957" w:rsidP="00FB3957">
      <w:pPr>
        <w:spacing w:line="276" w:lineRule="auto"/>
        <w:rPr>
          <w:rFonts w:ascii="Segoe UI" w:hAnsi="Segoe UI" w:cs="Segoe UI"/>
        </w:rPr>
      </w:pPr>
      <w:r w:rsidRPr="00FC7AFB">
        <w:rPr>
          <w:rFonts w:ascii="Segoe UI" w:hAnsi="Segoe UI" w:cs="Segoe UI"/>
        </w:rPr>
        <w:t xml:space="preserve">In August 2022, this structure was replaced with a new governance model when Ambulance Victoria established </w:t>
      </w:r>
      <w:r>
        <w:rPr>
          <w:rFonts w:ascii="Segoe UI" w:hAnsi="Segoe UI" w:cs="Segoe UI"/>
        </w:rPr>
        <w:t>5</w:t>
      </w:r>
      <w:r w:rsidRPr="00FC7AFB">
        <w:rPr>
          <w:rFonts w:ascii="Segoe UI" w:hAnsi="Segoe UI" w:cs="Segoe UI"/>
        </w:rPr>
        <w:t xml:space="preserve"> Pillar Governance Committees </w:t>
      </w:r>
      <w:r w:rsidRPr="00D52208">
        <w:rPr>
          <w:rFonts w:ascii="Segoe UI" w:hAnsi="Segoe UI" w:cs="Segoe UI"/>
        </w:rPr>
        <w:t>across the areas of safety, leadership development and values, governance and accountability, flexibility, diversity and inclusion, and complaints. Each committee was responsible for managing risk, resolving issues, coordinating dependencies and decision</w:t>
      </w:r>
      <w:r>
        <w:rPr>
          <w:rFonts w:ascii="Segoe UI" w:hAnsi="Segoe UI" w:cs="Segoe UI"/>
        </w:rPr>
        <w:t>-</w:t>
      </w:r>
      <w:r w:rsidRPr="00D52208">
        <w:rPr>
          <w:rFonts w:ascii="Segoe UI" w:hAnsi="Segoe UI" w:cs="Segoe UI"/>
        </w:rPr>
        <w:t>making as required to facilitate successful project delivery.</w:t>
      </w:r>
    </w:p>
    <w:p w14:paraId="5A259ED8" w14:textId="77777777" w:rsidR="00FB3957" w:rsidRPr="00FC7AFB" w:rsidRDefault="00FB3957" w:rsidP="00FB3957">
      <w:pPr>
        <w:spacing w:line="276" w:lineRule="auto"/>
        <w:rPr>
          <w:rFonts w:ascii="Segoe UI" w:hAnsi="Segoe UI" w:cs="Segoe UI"/>
        </w:rPr>
      </w:pPr>
      <w:r w:rsidRPr="00FC7AFB">
        <w:rPr>
          <w:rFonts w:ascii="Segoe UI" w:hAnsi="Segoe UI" w:cs="Segoe UI"/>
        </w:rPr>
        <w:t>In November 2023, Ambulance Victoria again changed its governance structure to the current Your</w:t>
      </w:r>
      <w:r>
        <w:rPr>
          <w:rFonts w:ascii="Segoe UI" w:hAnsi="Segoe UI" w:cs="Segoe UI"/>
        </w:rPr>
        <w:t xml:space="preserve"> </w:t>
      </w:r>
      <w:r w:rsidRPr="00FC7AFB">
        <w:rPr>
          <w:rFonts w:ascii="Segoe UI" w:hAnsi="Segoe UI" w:cs="Segoe UI"/>
        </w:rPr>
        <w:t>AV model. The Your</w:t>
      </w:r>
      <w:r>
        <w:rPr>
          <w:rFonts w:ascii="Segoe UI" w:hAnsi="Segoe UI" w:cs="Segoe UI"/>
        </w:rPr>
        <w:t xml:space="preserve"> </w:t>
      </w:r>
      <w:r w:rsidRPr="00FC7AFB">
        <w:rPr>
          <w:rFonts w:ascii="Segoe UI" w:hAnsi="Segoe UI" w:cs="Segoe UI"/>
        </w:rPr>
        <w:t>AV governance model consolidates the Pillar Governance Committees into the Your</w:t>
      </w:r>
      <w:r>
        <w:rPr>
          <w:rFonts w:ascii="Segoe UI" w:hAnsi="Segoe UI" w:cs="Segoe UI"/>
        </w:rPr>
        <w:t xml:space="preserve"> </w:t>
      </w:r>
      <w:r w:rsidRPr="00FC7AFB">
        <w:rPr>
          <w:rFonts w:ascii="Segoe UI" w:hAnsi="Segoe UI" w:cs="Segoe UI"/>
        </w:rPr>
        <w:t>AV Steering Committee. The Your</w:t>
      </w:r>
      <w:r>
        <w:rPr>
          <w:rFonts w:ascii="Segoe UI" w:hAnsi="Segoe UI" w:cs="Segoe UI"/>
        </w:rPr>
        <w:t xml:space="preserve"> </w:t>
      </w:r>
      <w:r w:rsidRPr="00FC7AFB">
        <w:rPr>
          <w:rFonts w:ascii="Segoe UI" w:hAnsi="Segoe UI" w:cs="Segoe UI"/>
        </w:rPr>
        <w:t>AV Advisory Group was also established at this time.</w:t>
      </w:r>
    </w:p>
    <w:p w14:paraId="704BBC5A" w14:textId="77777777" w:rsidR="00FB3957" w:rsidRDefault="00FB3957" w:rsidP="00FB3957">
      <w:pPr>
        <w:spacing w:line="276" w:lineRule="auto"/>
        <w:rPr>
          <w:rStyle w:val="normaltextrun"/>
          <w:rFonts w:ascii="Segoe UI" w:hAnsi="Segoe UI" w:cs="Segoe UI"/>
          <w:b/>
          <w:bCs/>
        </w:rPr>
      </w:pPr>
      <w:r>
        <w:rPr>
          <w:rStyle w:val="normaltextrun"/>
          <w:rFonts w:ascii="Segoe UI" w:hAnsi="Segoe UI" w:cs="Segoe UI"/>
          <w:b/>
          <w:bCs/>
        </w:rPr>
        <w:t xml:space="preserve">Ambulance Victoria does not currently have a dedicated steering committee of specific internal and external experts to monitor and oversee reforms </w:t>
      </w:r>
    </w:p>
    <w:p w14:paraId="2485BA83" w14:textId="77777777" w:rsidR="00FB3957" w:rsidRPr="00FC5D5D" w:rsidRDefault="00FB3957" w:rsidP="00FB3957">
      <w:pPr>
        <w:spacing w:line="276" w:lineRule="auto"/>
        <w:rPr>
          <w:rFonts w:ascii="Segoe UI" w:hAnsi="Segoe UI" w:cs="Segoe UI"/>
        </w:rPr>
      </w:pPr>
      <w:r w:rsidRPr="00FC5D5D">
        <w:rPr>
          <w:rFonts w:ascii="Segoe UI" w:hAnsi="Segoe UI" w:cs="Segoe UI"/>
        </w:rPr>
        <w:t>Ambulance Victoria’s Your</w:t>
      </w:r>
      <w:r>
        <w:rPr>
          <w:rFonts w:ascii="Segoe UI" w:hAnsi="Segoe UI" w:cs="Segoe UI"/>
        </w:rPr>
        <w:t xml:space="preserve"> </w:t>
      </w:r>
      <w:r w:rsidRPr="00FC5D5D">
        <w:rPr>
          <w:rFonts w:ascii="Segoe UI" w:hAnsi="Segoe UI" w:cs="Segoe UI"/>
        </w:rPr>
        <w:t>AV Governance model includes the Your</w:t>
      </w:r>
      <w:r>
        <w:rPr>
          <w:rFonts w:ascii="Segoe UI" w:hAnsi="Segoe UI" w:cs="Segoe UI"/>
        </w:rPr>
        <w:t xml:space="preserve"> </w:t>
      </w:r>
      <w:r w:rsidRPr="00FC5D5D">
        <w:rPr>
          <w:rFonts w:ascii="Segoe UI" w:hAnsi="Segoe UI" w:cs="Segoe UI"/>
        </w:rPr>
        <w:t>AV Steering Committee and the Your</w:t>
      </w:r>
      <w:r>
        <w:rPr>
          <w:rFonts w:ascii="Segoe UI" w:hAnsi="Segoe UI" w:cs="Segoe UI"/>
        </w:rPr>
        <w:t xml:space="preserve"> </w:t>
      </w:r>
      <w:r w:rsidRPr="00FC5D5D">
        <w:rPr>
          <w:rFonts w:ascii="Segoe UI" w:hAnsi="Segoe UI" w:cs="Segoe UI"/>
        </w:rPr>
        <w:t>AV Advisory Group.</w:t>
      </w:r>
    </w:p>
    <w:p w14:paraId="39510A22" w14:textId="77777777" w:rsidR="00FB3957" w:rsidRPr="00FC5D5D" w:rsidRDefault="00FB3957" w:rsidP="00FB3957">
      <w:pPr>
        <w:spacing w:line="276" w:lineRule="auto"/>
        <w:rPr>
          <w:rFonts w:ascii="Segoe UI" w:hAnsi="Segoe UI" w:cs="Segoe UI"/>
        </w:rPr>
      </w:pPr>
      <w:r w:rsidRPr="00FC5D5D">
        <w:rPr>
          <w:rFonts w:ascii="Segoe UI" w:hAnsi="Segoe UI" w:cs="Segoe UI"/>
        </w:rPr>
        <w:t>The Your</w:t>
      </w:r>
      <w:r>
        <w:rPr>
          <w:rFonts w:ascii="Segoe UI" w:hAnsi="Segoe UI" w:cs="Segoe UI"/>
        </w:rPr>
        <w:t xml:space="preserve"> </w:t>
      </w:r>
      <w:r w:rsidRPr="00FC5D5D">
        <w:rPr>
          <w:rFonts w:ascii="Segoe UI" w:hAnsi="Segoe UI" w:cs="Segoe UI"/>
        </w:rPr>
        <w:t xml:space="preserve">AV Steering Committee meets every </w:t>
      </w:r>
      <w:r>
        <w:rPr>
          <w:rFonts w:ascii="Segoe UI" w:hAnsi="Segoe UI" w:cs="Segoe UI"/>
        </w:rPr>
        <w:t>6</w:t>
      </w:r>
      <w:r w:rsidRPr="00FC5D5D">
        <w:rPr>
          <w:rFonts w:ascii="Segoe UI" w:hAnsi="Segoe UI" w:cs="Segoe UI"/>
        </w:rPr>
        <w:t xml:space="preserve"> weeks and includes Ambulance Victoria directors and executive directors. The Your</w:t>
      </w:r>
      <w:r>
        <w:rPr>
          <w:rFonts w:ascii="Segoe UI" w:hAnsi="Segoe UI" w:cs="Segoe UI"/>
        </w:rPr>
        <w:t xml:space="preserve"> </w:t>
      </w:r>
      <w:r w:rsidRPr="00FC5D5D">
        <w:rPr>
          <w:rFonts w:ascii="Segoe UI" w:hAnsi="Segoe UI" w:cs="Segoe UI"/>
        </w:rPr>
        <w:t>AV Steering Committee terms of reference state the Committee has been established to provide whole</w:t>
      </w:r>
      <w:r>
        <w:rPr>
          <w:rFonts w:ascii="Segoe UI" w:hAnsi="Segoe UI" w:cs="Segoe UI"/>
        </w:rPr>
        <w:t>-</w:t>
      </w:r>
      <w:r w:rsidRPr="00FC5D5D">
        <w:rPr>
          <w:rFonts w:ascii="Segoe UI" w:hAnsi="Segoe UI" w:cs="Segoe UI"/>
        </w:rPr>
        <w:t>of</w:t>
      </w:r>
      <w:r>
        <w:rPr>
          <w:rFonts w:ascii="Segoe UI" w:hAnsi="Segoe UI" w:cs="Segoe UI"/>
        </w:rPr>
        <w:t>-</w:t>
      </w:r>
      <w:r w:rsidRPr="00FC5D5D">
        <w:rPr>
          <w:rFonts w:ascii="Segoe UI" w:hAnsi="Segoe UI" w:cs="Segoe UI"/>
        </w:rPr>
        <w:t>program oversight and formal ‘steering’ of the Your</w:t>
      </w:r>
      <w:r>
        <w:rPr>
          <w:rFonts w:ascii="Segoe UI" w:hAnsi="Segoe UI" w:cs="Segoe UI"/>
        </w:rPr>
        <w:t xml:space="preserve"> </w:t>
      </w:r>
      <w:r w:rsidRPr="00FC5D5D">
        <w:rPr>
          <w:rFonts w:ascii="Segoe UI" w:hAnsi="Segoe UI" w:cs="Segoe UI"/>
        </w:rPr>
        <w:t>AV program delivery. The terms of reference describe the committee’s purpose as:</w:t>
      </w:r>
    </w:p>
    <w:p w14:paraId="74FE8C52" w14:textId="23DC991A" w:rsidR="00FB3957" w:rsidRPr="00407FBF" w:rsidRDefault="00FB3957" w:rsidP="00FB3957">
      <w:pPr>
        <w:pStyle w:val="paragraph"/>
        <w:spacing w:before="0" w:beforeAutospacing="0" w:after="0" w:afterAutospacing="0" w:line="276" w:lineRule="auto"/>
        <w:ind w:left="720" w:right="521"/>
        <w:textAlignment w:val="baseline"/>
        <w:rPr>
          <w:rStyle w:val="normaltextrun"/>
          <w:rFonts w:ascii="Segoe UI" w:eastAsiaTheme="majorEastAsia" w:hAnsi="Segoe UI" w:cs="Segoe UI"/>
          <w:sz w:val="22"/>
          <w:szCs w:val="22"/>
        </w:rPr>
      </w:pPr>
      <w:r>
        <w:rPr>
          <w:rStyle w:val="normaltextrun"/>
          <w:rFonts w:ascii="Segoe UI" w:eastAsiaTheme="majorEastAsia" w:hAnsi="Segoe UI" w:cs="Segoe UI"/>
          <w:i/>
          <w:iCs/>
          <w:sz w:val="22"/>
          <w:szCs w:val="22"/>
        </w:rPr>
        <w:t>‘</w:t>
      </w:r>
      <w:proofErr w:type="gramStart"/>
      <w:r w:rsidRPr="00407FBF">
        <w:rPr>
          <w:rStyle w:val="normaltextrun"/>
          <w:rFonts w:ascii="Segoe UI" w:eastAsiaTheme="majorEastAsia" w:hAnsi="Segoe UI" w:cs="Segoe UI"/>
          <w:i/>
          <w:iCs/>
          <w:sz w:val="22"/>
          <w:szCs w:val="22"/>
        </w:rPr>
        <w:t>overall</w:t>
      </w:r>
      <w:proofErr w:type="gramEnd"/>
      <w:r w:rsidRPr="00407FBF">
        <w:rPr>
          <w:rStyle w:val="normaltextrun"/>
          <w:rFonts w:ascii="Segoe UI" w:eastAsiaTheme="majorEastAsia" w:hAnsi="Segoe UI" w:cs="Segoe UI"/>
          <w:i/>
          <w:iCs/>
          <w:sz w:val="22"/>
          <w:szCs w:val="22"/>
        </w:rPr>
        <w:t xml:space="preserve"> program accountability, responsible for monitoring outcomes and progress made, while steering program implementation, strategy and scope, and the resolution of risks and issues</w:t>
      </w:r>
      <w:r>
        <w:rPr>
          <w:rStyle w:val="normaltextrun"/>
          <w:rFonts w:ascii="Segoe UI" w:eastAsiaTheme="majorEastAsia" w:hAnsi="Segoe UI" w:cs="Segoe UI"/>
          <w:i/>
          <w:iCs/>
          <w:sz w:val="22"/>
          <w:szCs w:val="22"/>
        </w:rPr>
        <w:t>.’</w:t>
      </w:r>
      <w:r>
        <w:rPr>
          <w:rStyle w:val="normaltextrun"/>
          <w:rFonts w:ascii="Segoe UI" w:eastAsiaTheme="majorEastAsia" w:hAnsi="Segoe UI" w:cs="Segoe UI"/>
          <w:i/>
          <w:iCs/>
          <w:sz w:val="22"/>
          <w:szCs w:val="22"/>
        </w:rPr>
        <w:br/>
      </w:r>
    </w:p>
    <w:p w14:paraId="645A1B0D" w14:textId="77777777" w:rsidR="00FB3957" w:rsidRPr="00503B76" w:rsidRDefault="00FB3957" w:rsidP="00FB3957">
      <w:pPr>
        <w:spacing w:line="276" w:lineRule="auto"/>
        <w:rPr>
          <w:rFonts w:ascii="Segoe UI" w:hAnsi="Segoe UI" w:cs="Segoe UI"/>
        </w:rPr>
      </w:pPr>
      <w:r w:rsidRPr="00503B76">
        <w:rPr>
          <w:rFonts w:ascii="Segoe UI" w:hAnsi="Segoe UI" w:cs="Segoe UI"/>
        </w:rPr>
        <w:t>The Your</w:t>
      </w:r>
      <w:r>
        <w:rPr>
          <w:rFonts w:ascii="Segoe UI" w:hAnsi="Segoe UI" w:cs="Segoe UI"/>
        </w:rPr>
        <w:t xml:space="preserve"> </w:t>
      </w:r>
      <w:r w:rsidRPr="00503B76">
        <w:rPr>
          <w:rFonts w:ascii="Segoe UI" w:hAnsi="Segoe UI" w:cs="Segoe UI"/>
        </w:rPr>
        <w:t xml:space="preserve">AV Advisory Group meets quarterly and includes external members </w:t>
      </w:r>
      <w:r>
        <w:rPr>
          <w:rFonts w:ascii="Segoe UI" w:hAnsi="Segoe UI" w:cs="Segoe UI"/>
        </w:rPr>
        <w:t>who</w:t>
      </w:r>
      <w:r w:rsidRPr="00503B76">
        <w:rPr>
          <w:rFonts w:ascii="Segoe UI" w:hAnsi="Segoe UI" w:cs="Segoe UI"/>
        </w:rPr>
        <w:t xml:space="preserve"> have specialist expertise in driving workplace equality reforms</w:t>
      </w:r>
      <w:r>
        <w:rPr>
          <w:rFonts w:ascii="Segoe UI" w:hAnsi="Segoe UI" w:cs="Segoe UI"/>
        </w:rPr>
        <w:t>,</w:t>
      </w:r>
      <w:r w:rsidRPr="00503B76">
        <w:rPr>
          <w:rFonts w:ascii="Segoe UI" w:hAnsi="Segoe UI" w:cs="Segoe UI"/>
        </w:rPr>
        <w:t xml:space="preserve"> including union representatives </w:t>
      </w:r>
      <w:r w:rsidRPr="00503B76">
        <w:rPr>
          <w:rFonts w:ascii="Segoe UI" w:hAnsi="Segoe UI" w:cs="Segoe UI"/>
        </w:rPr>
        <w:lastRenderedPageBreak/>
        <w:t>and leaders from other government and non-government organisations</w:t>
      </w:r>
      <w:r>
        <w:rPr>
          <w:rFonts w:ascii="Segoe UI" w:hAnsi="Segoe UI" w:cs="Segoe UI"/>
        </w:rPr>
        <w:t>,</w:t>
      </w:r>
      <w:r w:rsidRPr="00503B76">
        <w:rPr>
          <w:rFonts w:ascii="Segoe UI" w:hAnsi="Segoe UI" w:cs="Segoe UI"/>
        </w:rPr>
        <w:t xml:space="preserve"> as well as workforce representatives from the Your</w:t>
      </w:r>
      <w:r>
        <w:rPr>
          <w:rFonts w:ascii="Segoe UI" w:hAnsi="Segoe UI" w:cs="Segoe UI"/>
        </w:rPr>
        <w:t xml:space="preserve"> </w:t>
      </w:r>
      <w:r w:rsidRPr="00503B76">
        <w:rPr>
          <w:rFonts w:ascii="Segoe UI" w:hAnsi="Segoe UI" w:cs="Segoe UI"/>
        </w:rPr>
        <w:t>AV Staff Reference Group. The Your</w:t>
      </w:r>
      <w:r>
        <w:rPr>
          <w:rFonts w:ascii="Segoe UI" w:hAnsi="Segoe UI" w:cs="Segoe UI"/>
        </w:rPr>
        <w:t xml:space="preserve"> </w:t>
      </w:r>
      <w:r w:rsidRPr="00503B76">
        <w:rPr>
          <w:rFonts w:ascii="Segoe UI" w:hAnsi="Segoe UI" w:cs="Segoe UI"/>
        </w:rPr>
        <w:t xml:space="preserve">AV Advisory Group terms of reference state that it </w:t>
      </w:r>
      <w:r>
        <w:rPr>
          <w:rFonts w:ascii="Segoe UI" w:hAnsi="Segoe UI" w:cs="Segoe UI"/>
        </w:rPr>
        <w:t>wa</w:t>
      </w:r>
      <w:r w:rsidRPr="00503B76">
        <w:rPr>
          <w:rFonts w:ascii="Segoe UI" w:hAnsi="Segoe UI" w:cs="Segoe UI"/>
        </w:rPr>
        <w:t xml:space="preserve">s established to provide strategic advice on how to drive long-term organisational change and workplace reform, including </w:t>
      </w:r>
      <w:r>
        <w:rPr>
          <w:rFonts w:ascii="Segoe UI" w:hAnsi="Segoe UI" w:cs="Segoe UI"/>
        </w:rPr>
        <w:t>alignment</w:t>
      </w:r>
      <w:r w:rsidRPr="00503B76">
        <w:rPr>
          <w:rFonts w:ascii="Segoe UI" w:hAnsi="Segoe UI" w:cs="Segoe UI"/>
        </w:rPr>
        <w:t xml:space="preserve"> with recommendations made by the Commission. The terms of reference go on to say that the </w:t>
      </w:r>
      <w:r>
        <w:rPr>
          <w:rFonts w:ascii="Segoe UI" w:hAnsi="Segoe UI" w:cs="Segoe UI"/>
        </w:rPr>
        <w:t>G</w:t>
      </w:r>
      <w:r w:rsidRPr="00503B76">
        <w:rPr>
          <w:rFonts w:ascii="Segoe UI" w:hAnsi="Segoe UI" w:cs="Segoe UI"/>
        </w:rPr>
        <w:t>roup’s role is to:</w:t>
      </w:r>
    </w:p>
    <w:p w14:paraId="6FCCA5E6" w14:textId="6E9D4E95" w:rsidR="00FB3957" w:rsidRDefault="00FB3957" w:rsidP="00FB3957">
      <w:pPr>
        <w:pStyle w:val="paragraph"/>
        <w:spacing w:before="0" w:beforeAutospacing="0" w:after="0" w:afterAutospacing="0" w:line="276" w:lineRule="auto"/>
        <w:ind w:left="720" w:right="521"/>
        <w:textAlignment w:val="baseline"/>
        <w:rPr>
          <w:rStyle w:val="normaltextrun"/>
          <w:rFonts w:ascii="Segoe UI" w:eastAsiaTheme="majorEastAsia" w:hAnsi="Segoe UI" w:cs="Segoe UI"/>
          <w:i/>
          <w:iCs/>
          <w:sz w:val="22"/>
          <w:szCs w:val="22"/>
        </w:rPr>
      </w:pPr>
      <w:r>
        <w:rPr>
          <w:rStyle w:val="normaltextrun"/>
          <w:rFonts w:ascii="Segoe UI" w:eastAsiaTheme="majorEastAsia" w:hAnsi="Segoe UI" w:cs="Segoe UI"/>
          <w:i/>
          <w:iCs/>
          <w:sz w:val="22"/>
          <w:szCs w:val="22"/>
        </w:rPr>
        <w:t>‘</w:t>
      </w:r>
      <w:proofErr w:type="gramStart"/>
      <w:r w:rsidRPr="00C32334">
        <w:rPr>
          <w:rStyle w:val="normaltextrun"/>
          <w:rFonts w:ascii="Segoe UI" w:eastAsiaTheme="majorEastAsia" w:hAnsi="Segoe UI" w:cs="Segoe UI"/>
          <w:i/>
          <w:iCs/>
          <w:sz w:val="22"/>
          <w:szCs w:val="22"/>
        </w:rPr>
        <w:t>strategically</w:t>
      </w:r>
      <w:proofErr w:type="gramEnd"/>
      <w:r w:rsidRPr="00C32334">
        <w:rPr>
          <w:rStyle w:val="normaltextrun"/>
          <w:rFonts w:ascii="Segoe UI" w:eastAsiaTheme="majorEastAsia" w:hAnsi="Segoe UI" w:cs="Segoe UI"/>
          <w:i/>
          <w:iCs/>
          <w:sz w:val="22"/>
          <w:szCs w:val="22"/>
        </w:rPr>
        <w:t xml:space="preserve"> advise on embedding and sustaining workplace and cultural change backed by evidence, lived experience and specialisation around the gendered and intersectional drivers of violence and harm in workplaces, and lessons learnt in driving reform in complex workplaces or health contexts. This may include providing expert advice o</w:t>
      </w:r>
      <w:r>
        <w:rPr>
          <w:rStyle w:val="normaltextrun"/>
          <w:rFonts w:ascii="Segoe UI" w:eastAsiaTheme="majorEastAsia" w:hAnsi="Segoe UI" w:cs="Segoe UI"/>
          <w:i/>
          <w:iCs/>
          <w:sz w:val="22"/>
          <w:szCs w:val="22"/>
        </w:rPr>
        <w:t>n</w:t>
      </w:r>
      <w:r w:rsidRPr="00C32334">
        <w:rPr>
          <w:rStyle w:val="normaltextrun"/>
          <w:rFonts w:ascii="Segoe UI" w:eastAsiaTheme="majorEastAsia" w:hAnsi="Segoe UI" w:cs="Segoe UI"/>
          <w:i/>
          <w:iCs/>
          <w:sz w:val="22"/>
          <w:szCs w:val="22"/>
        </w:rPr>
        <w:t xml:space="preserve"> implementation activities and opportunities to innovate and collaborate to support long term organisational change and workplace reform</w:t>
      </w:r>
      <w:r>
        <w:rPr>
          <w:rStyle w:val="normaltextrun"/>
          <w:rFonts w:ascii="Segoe UI" w:eastAsiaTheme="majorEastAsia" w:hAnsi="Segoe UI" w:cs="Segoe UI"/>
          <w:i/>
          <w:iCs/>
          <w:sz w:val="22"/>
          <w:szCs w:val="22"/>
        </w:rPr>
        <w:t>.’</w:t>
      </w:r>
      <w:r>
        <w:rPr>
          <w:rStyle w:val="normaltextrun"/>
          <w:rFonts w:ascii="Segoe UI" w:eastAsiaTheme="majorEastAsia" w:hAnsi="Segoe UI" w:cs="Segoe UI"/>
          <w:i/>
          <w:iCs/>
          <w:sz w:val="22"/>
          <w:szCs w:val="22"/>
        </w:rPr>
        <w:br/>
      </w:r>
    </w:p>
    <w:p w14:paraId="19056324" w14:textId="77777777" w:rsidR="00FB3957" w:rsidRPr="005D4D48" w:rsidRDefault="00FB3957" w:rsidP="00FB3957">
      <w:pPr>
        <w:spacing w:line="276" w:lineRule="auto"/>
        <w:rPr>
          <w:rFonts w:ascii="Segoe UI" w:hAnsi="Segoe UI" w:cs="Segoe UI"/>
        </w:rPr>
      </w:pPr>
      <w:r w:rsidRPr="005D4D48">
        <w:rPr>
          <w:rFonts w:ascii="Segoe UI" w:hAnsi="Segoe UI" w:cs="Segoe UI"/>
        </w:rPr>
        <w:t>The Commission has found that while the mandate of the Your</w:t>
      </w:r>
      <w:r>
        <w:rPr>
          <w:rFonts w:ascii="Segoe UI" w:hAnsi="Segoe UI" w:cs="Segoe UI"/>
        </w:rPr>
        <w:t xml:space="preserve"> </w:t>
      </w:r>
      <w:r w:rsidRPr="005D4D48">
        <w:rPr>
          <w:rFonts w:ascii="Segoe UI" w:hAnsi="Segoe UI" w:cs="Segoe UI"/>
        </w:rPr>
        <w:t xml:space="preserve">AV Steering Committee meets the intent of </w:t>
      </w:r>
      <w:r>
        <w:rPr>
          <w:rFonts w:ascii="Segoe UI" w:hAnsi="Segoe UI" w:cs="Segoe UI"/>
        </w:rPr>
        <w:t>R</w:t>
      </w:r>
      <w:r w:rsidRPr="005D4D48">
        <w:rPr>
          <w:rFonts w:ascii="Segoe UI" w:hAnsi="Segoe UI" w:cs="Segoe UI"/>
        </w:rPr>
        <w:t>ecommendation 12, importantly the membership of the Your</w:t>
      </w:r>
      <w:r>
        <w:rPr>
          <w:rFonts w:ascii="Segoe UI" w:hAnsi="Segoe UI" w:cs="Segoe UI"/>
        </w:rPr>
        <w:t xml:space="preserve"> </w:t>
      </w:r>
      <w:r w:rsidRPr="005D4D48">
        <w:rPr>
          <w:rFonts w:ascii="Segoe UI" w:hAnsi="Segoe UI" w:cs="Segoe UI"/>
        </w:rPr>
        <w:t>AV Steering Committee does not align with the recommendation. In contrast, the Your</w:t>
      </w:r>
      <w:r>
        <w:rPr>
          <w:rFonts w:ascii="Segoe UI" w:hAnsi="Segoe UI" w:cs="Segoe UI"/>
        </w:rPr>
        <w:t xml:space="preserve"> </w:t>
      </w:r>
      <w:r w:rsidRPr="005D4D48">
        <w:rPr>
          <w:rFonts w:ascii="Segoe UI" w:hAnsi="Segoe UI" w:cs="Segoe UI"/>
        </w:rPr>
        <w:t>AV Advisory Group has the membership intended by the recommendation but lacks the envisioned mandate.</w:t>
      </w:r>
    </w:p>
    <w:p w14:paraId="7EB915D8" w14:textId="77777777" w:rsidR="00FB3957" w:rsidRPr="005D4D48" w:rsidRDefault="00FB3957" w:rsidP="00FB3957">
      <w:pPr>
        <w:spacing w:line="276" w:lineRule="auto"/>
        <w:rPr>
          <w:rFonts w:ascii="Segoe UI" w:hAnsi="Segoe UI" w:cs="Segoe UI"/>
        </w:rPr>
      </w:pPr>
      <w:r w:rsidRPr="005D4D48">
        <w:rPr>
          <w:rFonts w:ascii="Segoe UI" w:hAnsi="Segoe UI" w:cs="Segoe UI"/>
        </w:rPr>
        <w:t>The Commission has not found evidence of how the Your</w:t>
      </w:r>
      <w:r>
        <w:rPr>
          <w:rFonts w:ascii="Segoe UI" w:hAnsi="Segoe UI" w:cs="Segoe UI"/>
        </w:rPr>
        <w:t xml:space="preserve"> </w:t>
      </w:r>
      <w:r w:rsidRPr="005D4D48">
        <w:rPr>
          <w:rFonts w:ascii="Segoe UI" w:hAnsi="Segoe UI" w:cs="Segoe UI"/>
        </w:rPr>
        <w:t>AV Steering Committee and the Your</w:t>
      </w:r>
      <w:r>
        <w:rPr>
          <w:rFonts w:ascii="Segoe UI" w:hAnsi="Segoe UI" w:cs="Segoe UI"/>
        </w:rPr>
        <w:t xml:space="preserve"> </w:t>
      </w:r>
      <w:r w:rsidRPr="005D4D48">
        <w:rPr>
          <w:rFonts w:ascii="Segoe UI" w:hAnsi="Segoe UI" w:cs="Segoe UI"/>
        </w:rPr>
        <w:t>AV Advisory Group work together.</w:t>
      </w:r>
    </w:p>
    <w:p w14:paraId="1D880166" w14:textId="77777777" w:rsidR="00FB3957" w:rsidRDefault="00FB3957" w:rsidP="00FB3957">
      <w:pPr>
        <w:pStyle w:val="Heading3"/>
      </w:pPr>
      <w:bookmarkStart w:id="9" w:name="_Toc184117639"/>
      <w:bookmarkStart w:id="10" w:name="_Toc184136074"/>
      <w:r w:rsidRPr="00EF0705">
        <w:t>Progress in achieving change</w:t>
      </w:r>
      <w:bookmarkEnd w:id="9"/>
      <w:bookmarkEnd w:id="10"/>
    </w:p>
    <w:p w14:paraId="05AA5856" w14:textId="77777777" w:rsidR="00FB3957" w:rsidRDefault="00FB3957" w:rsidP="00FB3957">
      <w:pPr>
        <w:pStyle w:val="NoSpacing"/>
        <w:jc w:val="center"/>
        <w:rPr>
          <w:rFonts w:ascii="Segoe UI" w:hAnsi="Segoe UI" w:cs="Segoe UI"/>
        </w:rPr>
      </w:pPr>
      <w:r w:rsidRPr="00B43CD1">
        <w:rPr>
          <w:rFonts w:ascii="Segoe UI" w:hAnsi="Segoe UI" w:cs="Segoe UI"/>
          <w:noProof/>
        </w:rPr>
        <w:drawing>
          <wp:inline distT="0" distB="0" distL="0" distR="0" wp14:anchorId="4430862A" wp14:editId="1497C77C">
            <wp:extent cx="1976400" cy="1980000"/>
            <wp:effectExtent l="0" t="0" r="5080" b="1270"/>
            <wp:docPr id="1697332253" name="Picture 1" descr="A circular graphic depicting the Commission's assessment that this recommendation is implemented to a moderate ex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332253" name="Picture 1" descr="A circular graphic depicting the Commission's assessment that this recommendation is implemented to a moderate extent."/>
                    <pic:cNvPicPr/>
                  </pic:nvPicPr>
                  <pic:blipFill>
                    <a:blip r:embed="rId10"/>
                    <a:stretch>
                      <a:fillRect/>
                    </a:stretch>
                  </pic:blipFill>
                  <pic:spPr>
                    <a:xfrm>
                      <a:off x="0" y="0"/>
                      <a:ext cx="1976400" cy="1980000"/>
                    </a:xfrm>
                    <a:prstGeom prst="rect">
                      <a:avLst/>
                    </a:prstGeom>
                  </pic:spPr>
                </pic:pic>
              </a:graphicData>
            </a:graphic>
          </wp:inline>
        </w:drawing>
      </w:r>
    </w:p>
    <w:p w14:paraId="730B8A25" w14:textId="77777777" w:rsidR="00FB3957" w:rsidRPr="00EF0705" w:rsidRDefault="00FB3957" w:rsidP="00FB3957">
      <w:pPr>
        <w:spacing w:line="276" w:lineRule="auto"/>
        <w:rPr>
          <w:rFonts w:ascii="Segoe UI" w:hAnsi="Segoe UI" w:cs="Segoe UI"/>
        </w:rPr>
      </w:pPr>
      <w:r>
        <w:rPr>
          <w:rFonts w:ascii="Segoe UI" w:hAnsi="Segoe UI" w:cs="Segoe UI"/>
        </w:rPr>
        <w:t>The Commission has assessed Ambulance Victoria’s progress towards implementing Recommendation 12 as implemented to a moderate extent. The Commission has flagged this recommendation due to concerns about the implementation approach that Ambulance Victoria has taken to date.</w:t>
      </w:r>
    </w:p>
    <w:p w14:paraId="1CBFA268" w14:textId="77777777" w:rsidR="00FB3957" w:rsidRPr="00EF0705" w:rsidRDefault="00FB3957" w:rsidP="00FB3957">
      <w:pPr>
        <w:spacing w:line="276" w:lineRule="auto"/>
        <w:rPr>
          <w:rFonts w:ascii="Segoe UI" w:hAnsi="Segoe UI" w:cs="Segoe UI"/>
        </w:rPr>
      </w:pPr>
      <w:r>
        <w:rPr>
          <w:rFonts w:ascii="Segoe UI" w:hAnsi="Segoe UI" w:cs="Segoe UI"/>
        </w:rPr>
        <w:t xml:space="preserve">Although Ambulance Victoria has made progress towards implementing this recommendation, the Commission has found that the current implementation approach does not adequately deliver the recommendation intent of a steering committee of specified internal and external members with a mandate to monitor </w:t>
      </w:r>
      <w:r w:rsidRPr="007D7445">
        <w:rPr>
          <w:rFonts w:ascii="Segoe UI" w:hAnsi="Segoe UI" w:cs="Segoe UI"/>
          <w:lang w:val="en-US"/>
        </w:rPr>
        <w:t>and oversee</w:t>
      </w:r>
      <w:r>
        <w:rPr>
          <w:rFonts w:ascii="Segoe UI" w:hAnsi="Segoe UI" w:cs="Segoe UI"/>
          <w:lang w:val="en-US"/>
        </w:rPr>
        <w:t xml:space="preserve"> reforms. The </w:t>
      </w:r>
      <w:r>
        <w:rPr>
          <w:rFonts w:ascii="Segoe UI" w:hAnsi="Segoe UI" w:cs="Segoe UI"/>
          <w:lang w:val="en-US"/>
        </w:rPr>
        <w:lastRenderedPageBreak/>
        <w:t xml:space="preserve">Commission considers that a steering committee with this membership and mandate combination will be integral to </w:t>
      </w:r>
      <w:r w:rsidRPr="009033DB">
        <w:rPr>
          <w:rFonts w:ascii="Segoe UI" w:hAnsi="Segoe UI" w:cs="Segoe UI"/>
        </w:rPr>
        <w:t>ensur</w:t>
      </w:r>
      <w:r>
        <w:rPr>
          <w:rFonts w:ascii="Segoe UI" w:hAnsi="Segoe UI" w:cs="Segoe UI"/>
        </w:rPr>
        <w:t>ing ongoing reform</w:t>
      </w:r>
      <w:r w:rsidRPr="009033DB">
        <w:rPr>
          <w:rFonts w:ascii="Segoe UI" w:hAnsi="Segoe UI" w:cs="Segoe UI"/>
        </w:rPr>
        <w:t xml:space="preserve"> accountability and continued improvement towards workplace equality</w:t>
      </w:r>
      <w:r>
        <w:rPr>
          <w:rFonts w:ascii="Segoe UI" w:hAnsi="Segoe UI" w:cs="Segoe UI"/>
        </w:rPr>
        <w:t xml:space="preserve"> in Ambulance Victoria.</w:t>
      </w:r>
    </w:p>
    <w:p w14:paraId="7EC63815" w14:textId="77777777" w:rsidR="00FB3957" w:rsidRPr="00EF0705" w:rsidRDefault="00FB3957" w:rsidP="00FB3957">
      <w:pPr>
        <w:pStyle w:val="Heading2"/>
      </w:pPr>
      <w:bookmarkStart w:id="11" w:name="_Toc184117640"/>
      <w:bookmarkStart w:id="12" w:name="_Toc184136075"/>
      <w:r w:rsidRPr="00EF0705">
        <w:t>What measures are still needed?</w:t>
      </w:r>
      <w:bookmarkEnd w:id="11"/>
      <w:bookmarkEnd w:id="12"/>
    </w:p>
    <w:p w14:paraId="156288B3" w14:textId="77777777" w:rsidR="00FB3957" w:rsidRPr="007C114B" w:rsidRDefault="00FB3957" w:rsidP="00FB3957">
      <w:pPr>
        <w:spacing w:line="276" w:lineRule="auto"/>
        <w:rPr>
          <w:rFonts w:ascii="Segoe UI" w:hAnsi="Segoe UI" w:cs="Segoe UI"/>
        </w:rPr>
      </w:pPr>
      <w:r w:rsidRPr="007C114B">
        <w:rPr>
          <w:rFonts w:ascii="Segoe UI" w:hAnsi="Segoe UI" w:cs="Segoe UI"/>
        </w:rPr>
        <w:t xml:space="preserve">The Commission encourages Ambulance Victoria to reconsider and alter the implementation approach </w:t>
      </w:r>
      <w:r>
        <w:rPr>
          <w:rFonts w:ascii="Segoe UI" w:hAnsi="Segoe UI" w:cs="Segoe UI"/>
        </w:rPr>
        <w:t>to establish a dedicated steering committee that has both the mandate outlined in Recommendation 12(a) and the membership outlined in Recommendation 12(b).</w:t>
      </w:r>
    </w:p>
    <w:p w14:paraId="0022F34D" w14:textId="77777777" w:rsidR="00FB3957" w:rsidRPr="003B431F" w:rsidRDefault="00FB3957" w:rsidP="00FB3957">
      <w:pPr>
        <w:spacing w:line="276" w:lineRule="auto"/>
        <w:rPr>
          <w:rStyle w:val="normaltextrun"/>
          <w:rFonts w:ascii="Segoe UI" w:eastAsiaTheme="majorEastAsia" w:hAnsi="Segoe UI" w:cs="Segoe UI"/>
        </w:rPr>
      </w:pPr>
      <w:r>
        <w:rPr>
          <w:rStyle w:val="normaltextrun"/>
          <w:rFonts w:ascii="Segoe UI" w:eastAsiaTheme="majorEastAsia" w:hAnsi="Segoe UI" w:cs="Segoe UI"/>
        </w:rPr>
        <w:t xml:space="preserve">By </w:t>
      </w:r>
      <w:r w:rsidRPr="002C6553">
        <w:rPr>
          <w:rStyle w:val="normaltextrun"/>
          <w:rFonts w:ascii="Segoe UI" w:eastAsiaTheme="majorEastAsia" w:hAnsi="Segoe UI" w:cs="Segoe UI"/>
        </w:rPr>
        <w:t>making</w:t>
      </w:r>
      <w:r>
        <w:rPr>
          <w:rStyle w:val="normaltextrun"/>
          <w:rFonts w:ascii="Segoe UI" w:eastAsiaTheme="majorEastAsia" w:hAnsi="Segoe UI" w:cs="Segoe UI"/>
        </w:rPr>
        <w:t xml:space="preserve"> these course corrections and establishing a robust governance committee with </w:t>
      </w:r>
      <w:r w:rsidRPr="003B431F">
        <w:rPr>
          <w:rStyle w:val="normaltextrun"/>
          <w:rFonts w:ascii="Segoe UI" w:eastAsiaTheme="majorEastAsia" w:hAnsi="Segoe UI" w:cs="Segoe UI"/>
        </w:rPr>
        <w:t xml:space="preserve">oversight of reforms in alignment with the recommendation, Ambulance Victoria can harness the </w:t>
      </w:r>
      <w:r w:rsidRPr="003B431F">
        <w:rPr>
          <w:rStyle w:val="normaltextrun"/>
          <w:rFonts w:ascii="Segoe UI" w:hAnsi="Segoe UI" w:cs="Segoe UI"/>
        </w:rPr>
        <w:t>Reform Enabler: Workforce Commitment</w:t>
      </w:r>
      <w:r w:rsidRPr="003B431F">
        <w:rPr>
          <w:rStyle w:val="normaltextrun"/>
          <w:rFonts w:ascii="Segoe UI" w:hAnsi="Segoe UI" w:cs="Segoe UI"/>
          <w:sz w:val="20"/>
          <w:szCs w:val="20"/>
        </w:rPr>
        <w:t xml:space="preserve"> </w:t>
      </w:r>
      <w:r w:rsidRPr="003B431F">
        <w:rPr>
          <w:rStyle w:val="normaltextrun"/>
          <w:rFonts w:ascii="Segoe UI" w:eastAsiaTheme="majorEastAsia" w:hAnsi="Segoe UI" w:cs="Segoe UI"/>
        </w:rPr>
        <w:t xml:space="preserve">by involving members of the workforce in the steering committee. Altering the implementation approach as suggested would also significantly impact the </w:t>
      </w:r>
      <w:r w:rsidRPr="003B431F">
        <w:rPr>
          <w:rStyle w:val="normaltextrun"/>
          <w:rFonts w:ascii="Segoe UI" w:hAnsi="Segoe UI" w:cs="Segoe UI"/>
        </w:rPr>
        <w:t>Reform Barrier: Change Management Approach</w:t>
      </w:r>
      <w:r w:rsidRPr="003B431F">
        <w:rPr>
          <w:rStyle w:val="normaltextrun"/>
          <w:rFonts w:ascii="Segoe UI" w:hAnsi="Segoe UI" w:cs="Segoe UI"/>
          <w:sz w:val="20"/>
          <w:szCs w:val="20"/>
        </w:rPr>
        <w:t xml:space="preserve">. </w:t>
      </w:r>
      <w:r w:rsidRPr="003B431F">
        <w:rPr>
          <w:rStyle w:val="normaltextrun"/>
          <w:rFonts w:ascii="Segoe UI" w:eastAsiaTheme="majorEastAsia" w:hAnsi="Segoe UI" w:cs="Segoe UI"/>
        </w:rPr>
        <w:t xml:space="preserve">A robust governance committee will have clear accountability and oversight of reform change and can use its bird’s-eye-view perspective to identify potential change-management issues and enable continuity. </w:t>
      </w:r>
    </w:p>
    <w:p w14:paraId="57DC9442" w14:textId="77777777" w:rsidR="00FB3957" w:rsidRPr="003B431F" w:rsidRDefault="00FB3957" w:rsidP="00FB3957">
      <w:pPr>
        <w:spacing w:line="276" w:lineRule="auto"/>
        <w:rPr>
          <w:rStyle w:val="normaltextrun"/>
          <w:rFonts w:ascii="Segoe UI" w:eastAsiaTheme="majorEastAsia" w:hAnsi="Segoe UI" w:cs="Segoe UI"/>
        </w:rPr>
      </w:pPr>
      <w:r w:rsidRPr="003B431F">
        <w:rPr>
          <w:rStyle w:val="normaltextrun"/>
          <w:rFonts w:ascii="Segoe UI" w:eastAsiaTheme="majorEastAsia" w:hAnsi="Segoe UI" w:cs="Segoe UI"/>
        </w:rPr>
        <w:t xml:space="preserve">A dedicated steering committee with both the identified mandate and membership can also promote work to embed the organisational values as part of Recommendation 7: Resetting and embedding organisational values. </w:t>
      </w:r>
    </w:p>
    <w:p w14:paraId="769D9594" w14:textId="77777777" w:rsidR="006D056D" w:rsidRDefault="006D056D"/>
    <w:sectPr w:rsidR="006D05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175C1" w14:textId="77777777" w:rsidR="00FB3957" w:rsidRDefault="00FB3957" w:rsidP="00FB3957">
      <w:pPr>
        <w:spacing w:after="0" w:line="240" w:lineRule="auto"/>
      </w:pPr>
      <w:r>
        <w:separator/>
      </w:r>
    </w:p>
  </w:endnote>
  <w:endnote w:type="continuationSeparator" w:id="0">
    <w:p w14:paraId="69912E93" w14:textId="77777777" w:rsidR="00FB3957" w:rsidRDefault="00FB3957" w:rsidP="00FB3957">
      <w:pPr>
        <w:spacing w:after="0" w:line="240" w:lineRule="auto"/>
      </w:pPr>
      <w:r>
        <w:continuationSeparator/>
      </w:r>
    </w:p>
  </w:endnote>
  <w:endnote w:type="continuationNotice" w:id="1">
    <w:p w14:paraId="00E5BE14" w14:textId="77777777" w:rsidR="005F7212" w:rsidRDefault="005F72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D88F2" w14:textId="77777777" w:rsidR="00FB3957" w:rsidRDefault="00FB3957" w:rsidP="00FB3957">
      <w:pPr>
        <w:spacing w:after="0" w:line="240" w:lineRule="auto"/>
      </w:pPr>
      <w:r>
        <w:separator/>
      </w:r>
    </w:p>
  </w:footnote>
  <w:footnote w:type="continuationSeparator" w:id="0">
    <w:p w14:paraId="501AD6DC" w14:textId="77777777" w:rsidR="00FB3957" w:rsidRDefault="00FB3957" w:rsidP="00FB3957">
      <w:pPr>
        <w:spacing w:after="0" w:line="240" w:lineRule="auto"/>
      </w:pPr>
      <w:r>
        <w:continuationSeparator/>
      </w:r>
    </w:p>
  </w:footnote>
  <w:footnote w:type="continuationNotice" w:id="1">
    <w:p w14:paraId="188BB9FF" w14:textId="77777777" w:rsidR="005F7212" w:rsidRDefault="005F7212">
      <w:pPr>
        <w:spacing w:after="0" w:line="240" w:lineRule="auto"/>
      </w:pPr>
    </w:p>
  </w:footnote>
  <w:footnote w:id="2">
    <w:p w14:paraId="1DCCABCD" w14:textId="77777777" w:rsidR="00FB3957" w:rsidRPr="00D232F5" w:rsidRDefault="00FB3957" w:rsidP="00FB3957">
      <w:pPr>
        <w:rPr>
          <w:rFonts w:cs="Segoe UI"/>
          <w:sz w:val="20"/>
          <w:szCs w:val="20"/>
        </w:rPr>
      </w:pPr>
      <w:r w:rsidRPr="00D232F5">
        <w:rPr>
          <w:rStyle w:val="FootnoteReference"/>
          <w:sz w:val="20"/>
          <w:szCs w:val="20"/>
        </w:rPr>
        <w:footnoteRef/>
      </w:r>
      <w:r w:rsidRPr="00D232F5">
        <w:rPr>
          <w:sz w:val="20"/>
          <w:szCs w:val="20"/>
        </w:rPr>
        <w:t xml:space="preserve"> </w:t>
      </w:r>
      <w:r w:rsidRPr="00D232F5">
        <w:rPr>
          <w:rFonts w:cs="Segoe UI"/>
          <w:sz w:val="20"/>
          <w:szCs w:val="20"/>
        </w:rPr>
        <w:t xml:space="preserve">Victorian Equal Opportunity and Human Rights Commission, Independent Review into Workplace Equality in Ambulance Victoria: Phase </w:t>
      </w:r>
      <w:r>
        <w:rPr>
          <w:rFonts w:cs="Segoe UI"/>
          <w:sz w:val="20"/>
          <w:szCs w:val="20"/>
        </w:rPr>
        <w:t>1</w:t>
      </w:r>
      <w:r w:rsidRPr="00D232F5">
        <w:rPr>
          <w:rFonts w:cs="Segoe UI"/>
          <w:sz w:val="20"/>
          <w:szCs w:val="20"/>
        </w:rPr>
        <w:t xml:space="preserve"> (Volume </w:t>
      </w:r>
      <w:r>
        <w:rPr>
          <w:rFonts w:cs="Segoe UI"/>
          <w:sz w:val="20"/>
          <w:szCs w:val="20"/>
        </w:rPr>
        <w:t>I</w:t>
      </w:r>
      <w:r w:rsidRPr="00D232F5">
        <w:rPr>
          <w:rFonts w:cs="Segoe UI"/>
          <w:sz w:val="20"/>
          <w:szCs w:val="20"/>
        </w:rPr>
        <w:t>, 2021) 348.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A4089"/>
    <w:multiLevelType w:val="hybridMultilevel"/>
    <w:tmpl w:val="1B1EB6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54969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57"/>
    <w:rsid w:val="000B32A7"/>
    <w:rsid w:val="001F5514"/>
    <w:rsid w:val="003B431F"/>
    <w:rsid w:val="005F7212"/>
    <w:rsid w:val="006D056D"/>
    <w:rsid w:val="00937108"/>
    <w:rsid w:val="00D26D74"/>
    <w:rsid w:val="00D42594"/>
    <w:rsid w:val="00FB39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D0E11"/>
  <w15:chartTrackingRefBased/>
  <w15:docId w15:val="{282A3886-E44F-4181-85D1-885600DA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957"/>
  </w:style>
  <w:style w:type="paragraph" w:styleId="Heading1">
    <w:name w:val="heading 1"/>
    <w:basedOn w:val="Normal"/>
    <w:next w:val="Normal"/>
    <w:link w:val="Heading1Char"/>
    <w:qFormat/>
    <w:rsid w:val="00FB39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FB39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FB39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39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39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39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39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39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39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39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FB39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FB39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39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39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39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39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39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3957"/>
    <w:rPr>
      <w:rFonts w:eastAsiaTheme="majorEastAsia" w:cstheme="majorBidi"/>
      <w:color w:val="272727" w:themeColor="text1" w:themeTint="D8"/>
    </w:rPr>
  </w:style>
  <w:style w:type="paragraph" w:styleId="Title">
    <w:name w:val="Title"/>
    <w:basedOn w:val="Normal"/>
    <w:next w:val="Normal"/>
    <w:link w:val="TitleChar"/>
    <w:uiPriority w:val="10"/>
    <w:qFormat/>
    <w:rsid w:val="00FB39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39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39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39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3957"/>
    <w:pPr>
      <w:spacing w:before="160"/>
      <w:jc w:val="center"/>
    </w:pPr>
    <w:rPr>
      <w:i/>
      <w:iCs/>
      <w:color w:val="404040" w:themeColor="text1" w:themeTint="BF"/>
    </w:rPr>
  </w:style>
  <w:style w:type="character" w:customStyle="1" w:styleId="QuoteChar">
    <w:name w:val="Quote Char"/>
    <w:basedOn w:val="DefaultParagraphFont"/>
    <w:link w:val="Quote"/>
    <w:uiPriority w:val="29"/>
    <w:rsid w:val="00FB3957"/>
    <w:rPr>
      <w:i/>
      <w:iCs/>
      <w:color w:val="404040" w:themeColor="text1" w:themeTint="BF"/>
    </w:rPr>
  </w:style>
  <w:style w:type="paragraph" w:styleId="ListParagraph">
    <w:name w:val="List Paragraph"/>
    <w:aliases w:val="Bullet number"/>
    <w:basedOn w:val="Normal"/>
    <w:uiPriority w:val="99"/>
    <w:qFormat/>
    <w:rsid w:val="00FB3957"/>
    <w:pPr>
      <w:ind w:left="720"/>
      <w:contextualSpacing/>
    </w:pPr>
  </w:style>
  <w:style w:type="character" w:styleId="IntenseEmphasis">
    <w:name w:val="Intense Emphasis"/>
    <w:basedOn w:val="DefaultParagraphFont"/>
    <w:uiPriority w:val="21"/>
    <w:qFormat/>
    <w:rsid w:val="00FB3957"/>
    <w:rPr>
      <w:i/>
      <w:iCs/>
      <w:color w:val="0F4761" w:themeColor="accent1" w:themeShade="BF"/>
    </w:rPr>
  </w:style>
  <w:style w:type="paragraph" w:styleId="IntenseQuote">
    <w:name w:val="Intense Quote"/>
    <w:basedOn w:val="Normal"/>
    <w:next w:val="Normal"/>
    <w:link w:val="IntenseQuoteChar"/>
    <w:uiPriority w:val="30"/>
    <w:qFormat/>
    <w:rsid w:val="00FB39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3957"/>
    <w:rPr>
      <w:i/>
      <w:iCs/>
      <w:color w:val="0F4761" w:themeColor="accent1" w:themeShade="BF"/>
    </w:rPr>
  </w:style>
  <w:style w:type="character" w:styleId="IntenseReference">
    <w:name w:val="Intense Reference"/>
    <w:basedOn w:val="DefaultParagraphFont"/>
    <w:uiPriority w:val="32"/>
    <w:qFormat/>
    <w:rsid w:val="00FB3957"/>
    <w:rPr>
      <w:b/>
      <w:bCs/>
      <w:smallCaps/>
      <w:color w:val="0F4761" w:themeColor="accent1" w:themeShade="BF"/>
      <w:spacing w:val="5"/>
    </w:rPr>
  </w:style>
  <w:style w:type="character" w:styleId="FootnoteReference">
    <w:name w:val="footnote reference"/>
    <w:basedOn w:val="DefaultParagraphFont"/>
    <w:uiPriority w:val="99"/>
    <w:semiHidden/>
    <w:unhideWhenUsed/>
    <w:qFormat/>
    <w:rsid w:val="00FB3957"/>
    <w:rPr>
      <w:vertAlign w:val="superscript"/>
    </w:rPr>
  </w:style>
  <w:style w:type="paragraph" w:styleId="NoSpacing">
    <w:name w:val="No Spacing"/>
    <w:uiPriority w:val="1"/>
    <w:qFormat/>
    <w:rsid w:val="00FB3957"/>
    <w:pPr>
      <w:spacing w:after="0" w:line="240" w:lineRule="auto"/>
      <w:textAlignment w:val="baseline"/>
    </w:pPr>
    <w:rPr>
      <w:rFonts w:ascii="Arial" w:eastAsiaTheme="majorEastAsia" w:hAnsi="Arial" w:cs="Arial"/>
      <w:kern w:val="0"/>
      <w:lang w:eastAsia="en-AU"/>
      <w14:ligatures w14:val="none"/>
    </w:rPr>
  </w:style>
  <w:style w:type="paragraph" w:customStyle="1" w:styleId="paragraph">
    <w:name w:val="paragraph"/>
    <w:basedOn w:val="Normal"/>
    <w:rsid w:val="00FB3957"/>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FB3957"/>
  </w:style>
  <w:style w:type="paragraph" w:styleId="Header">
    <w:name w:val="header"/>
    <w:basedOn w:val="Normal"/>
    <w:link w:val="HeaderChar"/>
    <w:uiPriority w:val="99"/>
    <w:semiHidden/>
    <w:unhideWhenUsed/>
    <w:rsid w:val="005F721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F7212"/>
  </w:style>
  <w:style w:type="paragraph" w:styleId="Footer">
    <w:name w:val="footer"/>
    <w:basedOn w:val="Normal"/>
    <w:link w:val="FooterChar"/>
    <w:uiPriority w:val="99"/>
    <w:semiHidden/>
    <w:unhideWhenUsed/>
    <w:rsid w:val="005F721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F7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9ed8c2-7c4f-476e-aabf-c40a33b19a18">
      <Terms xmlns="http://schemas.microsoft.com/office/infopath/2007/PartnerControls"/>
    </lcf76f155ced4ddcb4097134ff3c332f>
    <TaxCatchAll xmlns="c797cc59-9b55-482b-909b-1e567b47f3ea"/>
    <Notes xmlns="ce9ed8c2-7c4f-476e-aabf-c40a33b19a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CC7B2E64029442A88CE2E4D58E9F32" ma:contentTypeVersion="19" ma:contentTypeDescription="Create a new document." ma:contentTypeScope="" ma:versionID="f8a8a8e985e0e5281da7929506352c09">
  <xsd:schema xmlns:xsd="http://www.w3.org/2001/XMLSchema" xmlns:xs="http://www.w3.org/2001/XMLSchema" xmlns:p="http://schemas.microsoft.com/office/2006/metadata/properties" xmlns:ns2="ce9ed8c2-7c4f-476e-aabf-c40a33b19a18" xmlns:ns3="c797cc59-9b55-482b-909b-1e567b47f3ea" targetNamespace="http://schemas.microsoft.com/office/2006/metadata/properties" ma:root="true" ma:fieldsID="521188cc2671bcf29c0793c1be8fe36a" ns2:_="" ns3:_="">
    <xsd:import namespace="ce9ed8c2-7c4f-476e-aabf-c40a33b19a18"/>
    <xsd:import namespace="c797cc59-9b55-482b-909b-1e567b47f3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Note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ed8c2-7c4f-476e-aabf-c40a33b19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97cc59-9b55-482b-909b-1e567b47f3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019214-df6a-4cd5-8123-312450fb8a41}" ma:internalName="TaxCatchAll" ma:showField="CatchAllData" ma:web="c797cc59-9b55-482b-909b-1e567b47f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3DB57B-E462-4FD9-B590-7CA530D738DA}">
  <ds:schemaRefs>
    <ds:schemaRef ds:uri="ce9ed8c2-7c4f-476e-aabf-c40a33b19a18"/>
    <ds:schemaRef ds:uri="http://purl.org/dc/terms/"/>
    <ds:schemaRef ds:uri="http://schemas.microsoft.com/office/2006/documentManagement/types"/>
    <ds:schemaRef ds:uri="http://purl.org/dc/dcmitype/"/>
    <ds:schemaRef ds:uri="http://purl.org/dc/elements/1.1/"/>
    <ds:schemaRef ds:uri="http://schemas.microsoft.com/office/2006/metadata/properties"/>
    <ds:schemaRef ds:uri="c797cc59-9b55-482b-909b-1e567b47f3ea"/>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AE3C7CB-5FBD-4D8D-AABA-C113782A0960}">
  <ds:schemaRefs>
    <ds:schemaRef ds:uri="http://schemas.microsoft.com/sharepoint/v3/contenttype/forms"/>
  </ds:schemaRefs>
</ds:datastoreItem>
</file>

<file path=customXml/itemProps3.xml><?xml version="1.0" encoding="utf-8"?>
<ds:datastoreItem xmlns:ds="http://schemas.openxmlformats.org/officeDocument/2006/customXml" ds:itemID="{5AF4CA01-9C99-4F78-8B9D-291B49421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ed8c2-7c4f-476e-aabf-c40a33b19a18"/>
    <ds:schemaRef ds:uri="c797cc59-9b55-482b-909b-1e567b47f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1214</Words>
  <Characters>6923</Characters>
  <Application>Microsoft Office Word</Application>
  <DocSecurity>0</DocSecurity>
  <Lines>57</Lines>
  <Paragraphs>16</Paragraphs>
  <ScaleCrop>false</ScaleCrop>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 Manning (DJCS)</dc:creator>
  <cp:keywords/>
  <dc:description/>
  <cp:lastModifiedBy>Julia P Manning (DJCS)</cp:lastModifiedBy>
  <cp:revision>3</cp:revision>
  <dcterms:created xsi:type="dcterms:W3CDTF">2025-01-07T22:56:00Z</dcterms:created>
  <dcterms:modified xsi:type="dcterms:W3CDTF">2025-01-08T00:54:00Z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0x01010008CC7B2E64029442A88CE2E4D58E9F32</vt:lpwstr>
  </property>
  <property fmtid="{D5CDD505-2E9C-101B-9397-08002B2CF9AE}" pid="3" name="MediaServiceImageTags">
    <vt:lpwstr/>
  </property>
</Properties>
</file>