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F83C" w14:textId="77777777" w:rsidR="002F4A64" w:rsidRPr="00EF0705" w:rsidRDefault="002F4A64" w:rsidP="002F4A64">
      <w:pPr>
        <w:pStyle w:val="Heading1"/>
      </w:pPr>
      <w:bookmarkStart w:id="0" w:name="_Toc184136125"/>
      <w:r w:rsidRPr="00EF0705">
        <w:rPr>
          <w:lang w:val="en-US"/>
        </w:rPr>
        <w:t xml:space="preserve">Recommendation </w:t>
      </w:r>
      <w:r>
        <w:rPr>
          <w:lang w:val="en-US"/>
        </w:rPr>
        <w:t>20: Understanding how the report and complaint system is working</w:t>
      </w:r>
      <w:bookmarkEnd w:id="0"/>
    </w:p>
    <w:p w14:paraId="25E003DE" w14:textId="77777777" w:rsidR="002F4A64" w:rsidRPr="00EF0705" w:rsidRDefault="002F4A64" w:rsidP="002F4A64">
      <w:pPr>
        <w:spacing w:line="276" w:lineRule="auto"/>
        <w:rPr>
          <w:rFonts w:ascii="Segoe UI" w:hAnsi="Segoe UI" w:cs="Segoe UI"/>
        </w:rPr>
      </w:pPr>
      <w:r w:rsidRPr="4C1CFE3A">
        <w:rPr>
          <w:rFonts w:ascii="Segoe UI" w:hAnsi="Segoe UI" w:cs="Segoe UI"/>
        </w:rPr>
        <w:t xml:space="preserve">Recommendation 20 </w:t>
      </w:r>
      <w:r w:rsidRPr="00673823">
        <w:rPr>
          <w:rFonts w:ascii="Segoe UI" w:hAnsi="Segoe UI" w:cs="Segoe UI"/>
          <w:lang w:val="en-US"/>
        </w:rPr>
        <w:t>requires</w:t>
      </w:r>
      <w:r w:rsidRPr="4C1CFE3A">
        <w:rPr>
          <w:rFonts w:ascii="Segoe UI" w:hAnsi="Segoe UI" w:cs="Segoe UI"/>
        </w:rPr>
        <w:t xml:space="preserve"> Ambulance Victoria to work with the Department of Health and other stakeholders to establish benchmarks to measure its report and complaint system performance.</w:t>
      </w:r>
      <w:r>
        <w:rPr>
          <w:rFonts w:ascii="Segoe UI" w:hAnsi="Segoe UI" w:cs="Segoe UI"/>
        </w:rPr>
        <w:t xml:space="preserve"> </w:t>
      </w:r>
    </w:p>
    <w:p w14:paraId="1E012EF9" w14:textId="77777777" w:rsidR="002F4A64" w:rsidRPr="00EF0705" w:rsidRDefault="002F4A64" w:rsidP="002F4A64">
      <w:pPr>
        <w:pStyle w:val="Heading2"/>
      </w:pPr>
      <w:bookmarkStart w:id="1" w:name="_Toc184117692"/>
      <w:bookmarkStart w:id="2" w:name="_Toc184136127"/>
      <w:r>
        <w:t>Recommendation intent and why it matters</w:t>
      </w:r>
      <w:bookmarkEnd w:id="1"/>
      <w:bookmarkEnd w:id="2"/>
    </w:p>
    <w:p w14:paraId="2E73B956" w14:textId="77777777" w:rsidR="002F4A64" w:rsidRPr="00673823" w:rsidRDefault="002F4A64" w:rsidP="002F4A64">
      <w:pPr>
        <w:spacing w:line="276" w:lineRule="auto"/>
        <w:rPr>
          <w:rFonts w:ascii="Segoe UI" w:eastAsiaTheme="majorEastAsia" w:hAnsi="Segoe UI" w:cs="Segoe UI"/>
        </w:rPr>
      </w:pPr>
      <w:r w:rsidRPr="27F8F491">
        <w:rPr>
          <w:rStyle w:val="normaltextrun"/>
          <w:rFonts w:ascii="Segoe UI" w:eastAsiaTheme="majorEastAsia" w:hAnsi="Segoe UI" w:cs="Segoe UI"/>
        </w:rPr>
        <w:t xml:space="preserve">Ongoing </w:t>
      </w:r>
      <w:r w:rsidRPr="00673823">
        <w:rPr>
          <w:rStyle w:val="normaltextrun"/>
          <w:rFonts w:ascii="Segoe UI" w:eastAsiaTheme="majorEastAsia" w:hAnsi="Segoe UI" w:cs="Segoe UI"/>
        </w:rPr>
        <w:t>monitoring</w:t>
      </w:r>
      <w:r w:rsidRPr="27F8F491">
        <w:rPr>
          <w:rStyle w:val="normaltextrun"/>
          <w:rFonts w:ascii="Segoe UI" w:eastAsiaTheme="majorEastAsia" w:hAnsi="Segoe UI" w:cs="Segoe UI"/>
        </w:rPr>
        <w:t xml:space="preserve"> and evaluation of an organisation’s report and complaint system – supported by specific benchmarks related to measures of timeliness, outcomes, remedies and causes – will assist to ensure </w:t>
      </w:r>
      <w:r w:rsidRPr="00EF1A9C">
        <w:rPr>
          <w:rStyle w:val="normaltextrun"/>
          <w:rFonts w:ascii="Segoe UI" w:eastAsiaTheme="majorEastAsia" w:hAnsi="Segoe UI" w:cs="Segoe UI"/>
          <w:i/>
          <w:iCs/>
        </w:rPr>
        <w:t xml:space="preserve">Equal Opportunity Act 2010 </w:t>
      </w:r>
      <w:r w:rsidRPr="27F8F491">
        <w:rPr>
          <w:rStyle w:val="normaltextrun"/>
          <w:rFonts w:ascii="Segoe UI" w:eastAsiaTheme="majorEastAsia" w:hAnsi="Segoe UI" w:cs="Segoe UI"/>
        </w:rPr>
        <w:t>(Vic) compliance as well as adherence to leading practice and continuous improvement. For an organisation of Ambulance Victoria’s size</w:t>
      </w:r>
      <w:r>
        <w:rPr>
          <w:rStyle w:val="normaltextrun"/>
          <w:rFonts w:ascii="Segoe UI" w:eastAsiaTheme="majorEastAsia" w:hAnsi="Segoe UI" w:cs="Segoe UI"/>
        </w:rPr>
        <w:t>,</w:t>
      </w:r>
      <w:r w:rsidRPr="27F8F491">
        <w:rPr>
          <w:rStyle w:val="normaltextrun"/>
          <w:rFonts w:ascii="Segoe UI" w:eastAsiaTheme="majorEastAsia" w:hAnsi="Segoe UI" w:cs="Segoe UI"/>
        </w:rPr>
        <w:t xml:space="preserve"> the Commission considers this to be a reasonable and proportionate measure to eliminat</w:t>
      </w:r>
      <w:r>
        <w:rPr>
          <w:rStyle w:val="normaltextrun"/>
          <w:rFonts w:ascii="Segoe UI" w:eastAsiaTheme="majorEastAsia" w:hAnsi="Segoe UI" w:cs="Segoe UI"/>
        </w:rPr>
        <w:t>e</w:t>
      </w:r>
      <w:r w:rsidRPr="27F8F491">
        <w:rPr>
          <w:rStyle w:val="normaltextrun"/>
          <w:rFonts w:ascii="Segoe UI" w:eastAsiaTheme="majorEastAsia" w:hAnsi="Segoe UI" w:cs="Segoe UI"/>
        </w:rPr>
        <w:t xml:space="preserve"> discrimination, sexual harassment and victimisation.</w:t>
      </w:r>
    </w:p>
    <w:p w14:paraId="2899D888" w14:textId="77777777" w:rsidR="002F4A64" w:rsidRDefault="002F4A64" w:rsidP="002F4A64">
      <w:pPr>
        <w:spacing w:line="276" w:lineRule="auto"/>
        <w:rPr>
          <w:rFonts w:ascii="Segoe UI" w:hAnsi="Segoe UI" w:cs="Segoe UI"/>
        </w:rPr>
      </w:pPr>
      <w:r>
        <w:rPr>
          <w:rFonts w:ascii="Segoe UI" w:hAnsi="Segoe UI" w:cs="Segoe UI"/>
        </w:rPr>
        <w:t xml:space="preserve">Measuring the </w:t>
      </w:r>
      <w:r w:rsidRPr="00673823">
        <w:rPr>
          <w:rFonts w:ascii="Segoe UI" w:hAnsi="Segoe UI" w:cs="Segoe UI"/>
        </w:rPr>
        <w:t>performance</w:t>
      </w:r>
      <w:r>
        <w:rPr>
          <w:rFonts w:ascii="Segoe UI" w:hAnsi="Segoe UI" w:cs="Segoe UI"/>
        </w:rPr>
        <w:t xml:space="preserve"> of Ambulance Victoria’s</w:t>
      </w:r>
      <w:r w:rsidRPr="00E251B4">
        <w:rPr>
          <w:rFonts w:ascii="Segoe UI" w:hAnsi="Segoe UI" w:cs="Segoe UI"/>
        </w:rPr>
        <w:t xml:space="preserve"> report and complaint system </w:t>
      </w:r>
      <w:r>
        <w:rPr>
          <w:rFonts w:ascii="Segoe UI" w:hAnsi="Segoe UI" w:cs="Segoe UI"/>
        </w:rPr>
        <w:t xml:space="preserve">will establish datasets that will </w:t>
      </w:r>
      <w:r w:rsidRPr="00960008">
        <w:rPr>
          <w:rFonts w:ascii="Segoe UI" w:hAnsi="Segoe UI" w:cs="Segoe UI"/>
          <w:lang w:val="en-US"/>
        </w:rPr>
        <w:t>assist in identifying root causes, trends and drivers of harmful and unlawful behaviour</w:t>
      </w:r>
      <w:r>
        <w:rPr>
          <w:rFonts w:ascii="Segoe UI" w:hAnsi="Segoe UI" w:cs="Segoe UI"/>
          <w:lang w:val="en-US"/>
        </w:rPr>
        <w:t xml:space="preserve">. This will </w:t>
      </w:r>
      <w:r>
        <w:rPr>
          <w:rFonts w:ascii="Segoe UI" w:hAnsi="Segoe UI" w:cs="Segoe UI"/>
        </w:rPr>
        <w:t>underpin continuous improvement in Ambulance Victoria’s approach to managing reports and complaints.</w:t>
      </w:r>
    </w:p>
    <w:p w14:paraId="3114AD67" w14:textId="77777777" w:rsidR="002F4A64" w:rsidRPr="00EF0705" w:rsidRDefault="002F4A64" w:rsidP="002F4A64">
      <w:pPr>
        <w:pStyle w:val="Heading2"/>
      </w:pPr>
      <w:bookmarkStart w:id="3" w:name="_Toc184117693"/>
      <w:bookmarkStart w:id="4" w:name="_Toc184136128"/>
      <w:r w:rsidRPr="00EF0705">
        <w:t>Findings</w:t>
      </w:r>
      <w:bookmarkEnd w:id="3"/>
      <w:bookmarkEnd w:id="4"/>
    </w:p>
    <w:p w14:paraId="014D13A6" w14:textId="77777777" w:rsidR="002F4A64" w:rsidRPr="00536882" w:rsidRDefault="002F4A64" w:rsidP="002F4A64">
      <w:pPr>
        <w:pStyle w:val="Heading3"/>
        <w:rPr>
          <w:rStyle w:val="normaltextrun"/>
          <w:rFonts w:ascii="Segoe UI" w:hAnsi="Segoe UI" w:cs="Segoe UI"/>
        </w:rPr>
      </w:pPr>
      <w:bookmarkStart w:id="5" w:name="_Toc184117694"/>
      <w:bookmarkStart w:id="6" w:name="_Toc184136129"/>
      <w:r w:rsidRPr="00EF0705">
        <w:t xml:space="preserve">What we found in </w:t>
      </w:r>
      <w:r>
        <w:t>Phase 1 of the Review</w:t>
      </w:r>
      <w:bookmarkEnd w:id="5"/>
      <w:bookmarkEnd w:id="6"/>
    </w:p>
    <w:p w14:paraId="04F788DF" w14:textId="77777777" w:rsidR="002F4A64" w:rsidRPr="007F1718" w:rsidRDefault="002F4A64" w:rsidP="002F4A64">
      <w:pPr>
        <w:spacing w:line="276" w:lineRule="auto"/>
        <w:rPr>
          <w:rStyle w:val="normaltextrun"/>
          <w:rFonts w:ascii="Segoe UI" w:eastAsiaTheme="majorEastAsia" w:hAnsi="Segoe UI" w:cs="Segoe UI"/>
          <w:u w:val="single"/>
        </w:rPr>
      </w:pPr>
      <w:r w:rsidRPr="4C1CFE3A">
        <w:rPr>
          <w:rStyle w:val="normaltextrun"/>
          <w:rFonts w:ascii="Segoe UI" w:eastAsiaTheme="majorEastAsia" w:hAnsi="Segoe UI" w:cs="Segoe UI"/>
        </w:rPr>
        <w:t xml:space="preserve">In </w:t>
      </w:r>
      <w:r>
        <w:rPr>
          <w:rStyle w:val="normaltextrun"/>
          <w:rFonts w:ascii="Segoe UI" w:eastAsiaTheme="majorEastAsia" w:hAnsi="Segoe UI" w:cs="Segoe UI"/>
        </w:rPr>
        <w:t>Phase 1 of the Review</w:t>
      </w:r>
      <w:r w:rsidRPr="4C1CFE3A">
        <w:rPr>
          <w:rStyle w:val="normaltextrun"/>
          <w:rFonts w:ascii="Segoe UI" w:eastAsiaTheme="majorEastAsia" w:hAnsi="Segoe UI" w:cs="Segoe UI"/>
        </w:rPr>
        <w:t xml:space="preserve">, the </w:t>
      </w:r>
      <w:r w:rsidRPr="007F1718">
        <w:rPr>
          <w:rStyle w:val="normaltextrun"/>
          <w:rFonts w:ascii="Segoe UI" w:eastAsiaTheme="majorEastAsia" w:hAnsi="Segoe UI" w:cs="Segoe UI"/>
        </w:rPr>
        <w:t>Commission</w:t>
      </w:r>
      <w:r w:rsidRPr="4C1CFE3A">
        <w:rPr>
          <w:rStyle w:val="normaltextrun"/>
          <w:rFonts w:ascii="Segoe UI" w:eastAsiaTheme="majorEastAsia" w:hAnsi="Segoe UI" w:cs="Segoe UI"/>
        </w:rPr>
        <w:t xml:space="preserve"> found that while data about Ambulance Victoria’s report and complaint system was being collected across a range of issues, the reporting in use did not analyse the root causes of reported behaviour or detail trends over time. This resulted in missed opportunities to address the drivers and risk factors of issues, and to prevent harm in future. </w:t>
      </w:r>
      <w:r>
        <w:rPr>
          <w:rStyle w:val="normaltextrun"/>
          <w:rFonts w:ascii="Segoe UI" w:eastAsiaTheme="majorEastAsia" w:hAnsi="Segoe UI" w:cs="Segoe UI"/>
        </w:rPr>
        <w:t xml:space="preserve">See section 9.5.1 of the </w:t>
      </w:r>
      <w:r w:rsidRPr="002F4A64">
        <w:rPr>
          <w:rStyle w:val="normaltextrun"/>
          <w:rFonts w:ascii="Segoe UI" w:eastAsiaTheme="majorEastAsia" w:hAnsi="Segoe UI" w:cs="Segoe UI"/>
          <w:color w:val="0000FF"/>
          <w:u w:val="single"/>
        </w:rPr>
        <w:t>Phase 1 Report</w:t>
      </w:r>
      <w:r w:rsidRPr="00A747DA">
        <w:rPr>
          <w:rStyle w:val="normaltextrun"/>
          <w:rFonts w:ascii="Segoe UI" w:eastAsiaTheme="majorEastAsia" w:hAnsi="Segoe UI" w:cs="Segoe UI"/>
          <w:u w:val="single"/>
        </w:rPr>
        <w:t>.</w:t>
      </w:r>
    </w:p>
    <w:p w14:paraId="274A8405" w14:textId="77777777" w:rsidR="002F4A64" w:rsidRPr="007F1718" w:rsidRDefault="002F4A64" w:rsidP="002F4A64">
      <w:pPr>
        <w:spacing w:line="276" w:lineRule="auto"/>
        <w:rPr>
          <w:rStyle w:val="normaltextrun"/>
          <w:rFonts w:ascii="Segoe UI" w:eastAsiaTheme="majorEastAsia" w:hAnsi="Segoe UI" w:cs="Segoe UI"/>
          <w:u w:val="single"/>
        </w:rPr>
      </w:pPr>
      <w:r w:rsidRPr="4C1CFE3A">
        <w:rPr>
          <w:rStyle w:val="normaltextrun"/>
          <w:rFonts w:ascii="Segoe UI" w:eastAsiaTheme="majorEastAsia" w:hAnsi="Segoe UI" w:cs="Segoe UI"/>
        </w:rPr>
        <w:t>Understanding people’s experiences of a report and complaint system – for example</w:t>
      </w:r>
      <w:r>
        <w:rPr>
          <w:rStyle w:val="normaltextrun"/>
          <w:rFonts w:ascii="Segoe UI" w:eastAsiaTheme="majorEastAsia" w:hAnsi="Segoe UI" w:cs="Segoe UI"/>
        </w:rPr>
        <w:t>,</w:t>
      </w:r>
      <w:r w:rsidRPr="4C1CFE3A">
        <w:rPr>
          <w:rStyle w:val="normaltextrun"/>
          <w:rFonts w:ascii="Segoe UI" w:eastAsiaTheme="majorEastAsia" w:hAnsi="Segoe UI" w:cs="Segoe UI"/>
        </w:rPr>
        <w:t xml:space="preserve"> via satisfaction surveys – is a vital quality indicator. Research suggests that </w:t>
      </w:r>
      <w:r>
        <w:rPr>
          <w:rStyle w:val="normaltextrun"/>
          <w:rFonts w:ascii="Segoe UI" w:eastAsiaTheme="majorEastAsia" w:hAnsi="Segoe UI" w:cs="Segoe UI"/>
        </w:rPr>
        <w:t>the effectiveness of</w:t>
      </w:r>
      <w:r w:rsidRPr="4C1CFE3A">
        <w:rPr>
          <w:rStyle w:val="normaltextrun"/>
          <w:rFonts w:ascii="Segoe UI" w:eastAsiaTheme="majorEastAsia" w:hAnsi="Segoe UI" w:cs="Segoe UI"/>
        </w:rPr>
        <w:t xml:space="preserve"> report and complaint systems can be best measured by whether they are perceived to be fair, which provides a better measure than other potential indicators</w:t>
      </w:r>
      <w:r>
        <w:rPr>
          <w:rStyle w:val="normaltextrun"/>
          <w:rFonts w:ascii="Segoe UI" w:eastAsiaTheme="majorEastAsia" w:hAnsi="Segoe UI" w:cs="Segoe UI"/>
        </w:rPr>
        <w:t>.</w:t>
      </w:r>
      <w:r>
        <w:rPr>
          <w:rStyle w:val="FootnoteReference"/>
          <w:rFonts w:ascii="Segoe UI" w:eastAsiaTheme="majorEastAsia" w:hAnsi="Segoe UI" w:cs="Segoe UI"/>
        </w:rPr>
        <w:footnoteReference w:id="2"/>
      </w:r>
      <w:r w:rsidRPr="4C1CFE3A">
        <w:rPr>
          <w:rStyle w:val="normaltextrun"/>
          <w:rFonts w:ascii="Segoe UI" w:eastAsiaTheme="majorEastAsia" w:hAnsi="Segoe UI" w:cs="Segoe UI"/>
        </w:rPr>
        <w:t xml:space="preserve"> </w:t>
      </w:r>
      <w:r>
        <w:rPr>
          <w:rStyle w:val="normaltextrun"/>
          <w:rFonts w:ascii="Segoe UI" w:eastAsiaTheme="majorEastAsia" w:hAnsi="Segoe UI" w:cs="Segoe UI"/>
        </w:rPr>
        <w:t xml:space="preserve">See section 9.5.1 of the </w:t>
      </w:r>
      <w:r w:rsidRPr="002F4A64">
        <w:rPr>
          <w:rStyle w:val="normaltextrun"/>
          <w:rFonts w:ascii="Segoe UI" w:eastAsiaTheme="majorEastAsia" w:hAnsi="Segoe UI" w:cs="Segoe UI"/>
          <w:color w:val="0000FF"/>
          <w:u w:val="single"/>
        </w:rPr>
        <w:t>Phase 1 Report</w:t>
      </w:r>
      <w:r w:rsidRPr="004C448C">
        <w:rPr>
          <w:rStyle w:val="normaltextrun"/>
          <w:rFonts w:ascii="Segoe UI" w:eastAsiaTheme="majorEastAsia" w:hAnsi="Segoe UI" w:cs="Segoe UI"/>
          <w:u w:val="single"/>
        </w:rPr>
        <w:t>.</w:t>
      </w:r>
    </w:p>
    <w:p w14:paraId="70B76AD8" w14:textId="77777777" w:rsidR="002F4A64" w:rsidRPr="005D37AE" w:rsidRDefault="002F4A64" w:rsidP="002F4A64">
      <w:pPr>
        <w:pStyle w:val="Heading3"/>
        <w:rPr>
          <w:rStyle w:val="normaltextrun"/>
          <w:rFonts w:ascii="Segoe UI" w:hAnsi="Segoe UI" w:cs="Segoe UI"/>
        </w:rPr>
      </w:pPr>
      <w:bookmarkStart w:id="7" w:name="_Toc184117695"/>
      <w:bookmarkStart w:id="8" w:name="_Toc184136130"/>
      <w:r w:rsidRPr="00EF0705">
        <w:lastRenderedPageBreak/>
        <w:t xml:space="preserve">What we found in </w:t>
      </w:r>
      <w:r>
        <w:t>Phase 3 of the Review</w:t>
      </w:r>
      <w:bookmarkEnd w:id="7"/>
      <w:bookmarkEnd w:id="8"/>
    </w:p>
    <w:p w14:paraId="478AD5C5" w14:textId="77777777" w:rsidR="002F4A64" w:rsidRPr="005D37AE" w:rsidRDefault="002F4A64" w:rsidP="002F4A64">
      <w:pPr>
        <w:pStyle w:val="paragraph"/>
        <w:rPr>
          <w:rStyle w:val="normaltextrun"/>
          <w:rFonts w:ascii="Segoe UI" w:eastAsiaTheme="majorEastAsia" w:hAnsi="Segoe UI" w:cs="Segoe UI"/>
          <w:b/>
          <w:bCs/>
          <w:sz w:val="22"/>
          <w:szCs w:val="22"/>
        </w:rPr>
      </w:pPr>
      <w:r w:rsidRPr="4C1CFE3A">
        <w:rPr>
          <w:rStyle w:val="normaltextrun"/>
          <w:rFonts w:ascii="Segoe UI" w:eastAsiaTheme="majorEastAsia" w:hAnsi="Segoe UI" w:cs="Segoe UI"/>
          <w:b/>
          <w:bCs/>
          <w:sz w:val="22"/>
          <w:szCs w:val="22"/>
        </w:rPr>
        <w:t xml:space="preserve">Ambulance Victoria </w:t>
      </w:r>
      <w:r>
        <w:rPr>
          <w:rStyle w:val="normaltextrun"/>
          <w:rFonts w:ascii="Segoe UI" w:eastAsiaTheme="majorEastAsia" w:hAnsi="Segoe UI" w:cs="Segoe UI"/>
          <w:b/>
          <w:bCs/>
          <w:sz w:val="22"/>
          <w:szCs w:val="22"/>
        </w:rPr>
        <w:t>is</w:t>
      </w:r>
      <w:r w:rsidRPr="4C1CFE3A">
        <w:rPr>
          <w:rStyle w:val="normaltextrun"/>
          <w:rFonts w:ascii="Segoe UI" w:eastAsiaTheme="majorEastAsia" w:hAnsi="Segoe UI" w:cs="Segoe UI"/>
          <w:b/>
          <w:bCs/>
          <w:sz w:val="22"/>
          <w:szCs w:val="22"/>
        </w:rPr>
        <w:t xml:space="preserve"> yet to establish </w:t>
      </w:r>
      <w:r w:rsidRPr="4C1CFE3A">
        <w:rPr>
          <w:rFonts w:ascii="Segoe UI" w:hAnsi="Segoe UI" w:cs="Segoe UI"/>
          <w:b/>
          <w:bCs/>
          <w:sz w:val="22"/>
          <w:szCs w:val="22"/>
        </w:rPr>
        <w:t>benchmarks to measure the performance of its report and complaint system</w:t>
      </w:r>
    </w:p>
    <w:p w14:paraId="3437BB03" w14:textId="77777777" w:rsidR="002F4A64" w:rsidRDefault="002F4A64" w:rsidP="002F4A64">
      <w:pPr>
        <w:spacing w:line="276" w:lineRule="auto"/>
        <w:rPr>
          <w:rStyle w:val="normaltextrun"/>
          <w:rFonts w:ascii="Segoe UI" w:eastAsiaTheme="majorEastAsia" w:hAnsi="Segoe UI" w:cs="Segoe UI"/>
        </w:rPr>
      </w:pPr>
      <w:r w:rsidRPr="4C1CFE3A">
        <w:rPr>
          <w:rStyle w:val="normaltextrun"/>
          <w:rFonts w:ascii="Segoe UI" w:eastAsiaTheme="majorEastAsia" w:hAnsi="Segoe UI" w:cs="Segoe UI"/>
        </w:rPr>
        <w:t>Ambulance Victoria is approaching implementation of this recommendation by collecting data against quantitative and qualitative performance measures between April 2024 and March 2025 to establish the baseline performance of its report and complaint system. Ambulance Victoria intends to use the baseline performance data to develop performance benchmarks in 2025.</w:t>
      </w:r>
    </w:p>
    <w:p w14:paraId="590E30C3" w14:textId="77777777" w:rsidR="002F4A64" w:rsidRDefault="002F4A64" w:rsidP="002F4A64">
      <w:pPr>
        <w:spacing w:line="276" w:lineRule="auto"/>
        <w:rPr>
          <w:rStyle w:val="normaltextrun"/>
          <w:rFonts w:ascii="Segoe UI" w:eastAsiaTheme="majorEastAsia" w:hAnsi="Segoe UI" w:cs="Segoe UI"/>
          <w:b/>
          <w:bCs/>
        </w:rPr>
      </w:pPr>
      <w:r>
        <w:rPr>
          <w:rStyle w:val="normaltextrun"/>
          <w:rFonts w:ascii="Segoe UI" w:eastAsiaTheme="majorEastAsia" w:hAnsi="Segoe UI" w:cs="Segoe UI"/>
        </w:rPr>
        <w:t xml:space="preserve">The Commission found that in </w:t>
      </w:r>
      <w:r w:rsidRPr="4C1CFE3A">
        <w:rPr>
          <w:rStyle w:val="normaltextrun"/>
          <w:rFonts w:ascii="Segoe UI" w:eastAsiaTheme="majorEastAsia" w:hAnsi="Segoe UI" w:cs="Segoe UI"/>
        </w:rPr>
        <w:t>developing the quantitative and qualitative performance measures that are currently being used to determine baseline performance of the report and complaint system, Ambulance Victoria has followed best practices including process mapping</w:t>
      </w:r>
      <w:r>
        <w:rPr>
          <w:rStyle w:val="normaltextrun"/>
          <w:rFonts w:ascii="Segoe UI" w:eastAsiaTheme="majorEastAsia" w:hAnsi="Segoe UI" w:cs="Segoe UI"/>
        </w:rPr>
        <w:t xml:space="preserve"> and</w:t>
      </w:r>
      <w:r w:rsidRPr="4C1CFE3A">
        <w:rPr>
          <w:rStyle w:val="normaltextrun"/>
          <w:rFonts w:ascii="Segoe UI" w:eastAsiaTheme="majorEastAsia" w:hAnsi="Segoe UI" w:cs="Segoe UI"/>
        </w:rPr>
        <w:t xml:space="preserve"> participant surveys</w:t>
      </w:r>
      <w:r>
        <w:rPr>
          <w:rStyle w:val="normaltextrun"/>
          <w:rFonts w:ascii="Segoe UI" w:eastAsiaTheme="majorEastAsia" w:hAnsi="Segoe UI" w:cs="Segoe UI"/>
        </w:rPr>
        <w:t>,</w:t>
      </w:r>
      <w:r w:rsidRPr="4C1CFE3A">
        <w:rPr>
          <w:rStyle w:val="normaltextrun"/>
          <w:rFonts w:ascii="Segoe UI" w:eastAsiaTheme="majorEastAsia" w:hAnsi="Segoe UI" w:cs="Segoe UI"/>
        </w:rPr>
        <w:t xml:space="preserve"> as well as seeking advice from the Commission. The Commission considers that this approach will support well</w:t>
      </w:r>
      <w:r>
        <w:rPr>
          <w:rStyle w:val="normaltextrun"/>
          <w:rFonts w:ascii="Segoe UI" w:eastAsiaTheme="majorEastAsia" w:hAnsi="Segoe UI" w:cs="Segoe UI"/>
        </w:rPr>
        <w:t>-</w:t>
      </w:r>
      <w:r w:rsidRPr="4C1CFE3A">
        <w:rPr>
          <w:rStyle w:val="normaltextrun"/>
          <w:rFonts w:ascii="Segoe UI" w:eastAsiaTheme="majorEastAsia" w:hAnsi="Segoe UI" w:cs="Segoe UI"/>
        </w:rPr>
        <w:t xml:space="preserve">informed benchmark development in 2025. </w:t>
      </w:r>
    </w:p>
    <w:p w14:paraId="10719E68" w14:textId="77777777" w:rsidR="002F4A64" w:rsidRDefault="002F4A64" w:rsidP="002F4A64">
      <w:pPr>
        <w:pStyle w:val="paragraph"/>
        <w:rPr>
          <w:rStyle w:val="normaltextrun"/>
          <w:rFonts w:ascii="Segoe UI" w:eastAsiaTheme="majorEastAsia" w:hAnsi="Segoe UI" w:cs="Segoe UI"/>
          <w:b/>
          <w:bCs/>
          <w:sz w:val="22"/>
          <w:szCs w:val="22"/>
        </w:rPr>
      </w:pPr>
      <w:r w:rsidRPr="4C1CFE3A">
        <w:rPr>
          <w:rStyle w:val="normaltextrun"/>
          <w:rFonts w:ascii="Segoe UI" w:eastAsiaTheme="majorEastAsia" w:hAnsi="Segoe UI" w:cs="Segoe UI"/>
          <w:b/>
          <w:bCs/>
          <w:sz w:val="22"/>
          <w:szCs w:val="22"/>
        </w:rPr>
        <w:t>Ambulance Victoria has not yet undertaken broad consultation across the Department of Health and health sector to inform leading practice performance benchmarks</w:t>
      </w:r>
    </w:p>
    <w:p w14:paraId="71D6AF08" w14:textId="77777777" w:rsidR="002F4A64" w:rsidRDefault="002F4A64" w:rsidP="002F4A64">
      <w:pPr>
        <w:spacing w:line="276" w:lineRule="auto"/>
        <w:rPr>
          <w:rStyle w:val="normaltextrun"/>
          <w:rFonts w:ascii="Segoe UI" w:eastAsiaTheme="majorEastAsia" w:hAnsi="Segoe UI" w:cs="Segoe UI"/>
        </w:rPr>
      </w:pPr>
      <w:r w:rsidRPr="4C1CFE3A">
        <w:rPr>
          <w:rStyle w:val="normaltextrun"/>
          <w:rFonts w:ascii="Segoe UI" w:eastAsiaTheme="majorEastAsia" w:hAnsi="Segoe UI" w:cs="Segoe UI"/>
        </w:rPr>
        <w:t>The Commission understands that Ambulance Victoria intends to consult with the Department of Health and health sector to inform leading practice in 2025. This will enable Ambulance Victoria to better understand common issues experienced across the health and emergency services sectors</w:t>
      </w:r>
      <w:r>
        <w:rPr>
          <w:rStyle w:val="normaltextrun"/>
          <w:rFonts w:ascii="Segoe UI" w:eastAsiaTheme="majorEastAsia" w:hAnsi="Segoe UI" w:cs="Segoe UI"/>
        </w:rPr>
        <w:t>,</w:t>
      </w:r>
      <w:r w:rsidRPr="4C1CFE3A">
        <w:rPr>
          <w:rStyle w:val="normaltextrun"/>
          <w:rFonts w:ascii="Segoe UI" w:eastAsiaTheme="majorEastAsia" w:hAnsi="Segoe UI" w:cs="Segoe UI"/>
        </w:rPr>
        <w:t xml:space="preserve"> and to contextualise its own data.</w:t>
      </w:r>
    </w:p>
    <w:p w14:paraId="5405A909" w14:textId="77777777" w:rsidR="002F4A64" w:rsidRDefault="002F4A64" w:rsidP="002F4A64">
      <w:pPr>
        <w:pStyle w:val="Heading3"/>
      </w:pPr>
      <w:bookmarkStart w:id="9" w:name="_Toc184117696"/>
      <w:bookmarkStart w:id="10" w:name="_Toc184136131"/>
      <w:r w:rsidRPr="00EF0705">
        <w:t>Progress in achieving change</w:t>
      </w:r>
      <w:bookmarkEnd w:id="9"/>
      <w:bookmarkEnd w:id="10"/>
    </w:p>
    <w:p w14:paraId="7832A418" w14:textId="77777777" w:rsidR="002F4A64" w:rsidRDefault="002F4A64" w:rsidP="002F4A64">
      <w:pPr>
        <w:pStyle w:val="NoSpacing"/>
        <w:jc w:val="center"/>
        <w:rPr>
          <w:rFonts w:ascii="Segoe UI" w:hAnsi="Segoe UI" w:cs="Segoe UI"/>
        </w:rPr>
      </w:pPr>
      <w:r w:rsidRPr="00C770FF">
        <w:rPr>
          <w:rFonts w:ascii="Segoe UI" w:hAnsi="Segoe UI" w:cs="Segoe UI"/>
          <w:noProof/>
        </w:rPr>
        <w:drawing>
          <wp:inline distT="0" distB="0" distL="0" distR="0" wp14:anchorId="45E64F1A" wp14:editId="2F757E33">
            <wp:extent cx="1954800" cy="1980000"/>
            <wp:effectExtent l="0" t="0" r="7620" b="1270"/>
            <wp:docPr id="890579950" name="Picture 1" descr="A circular graphic depicting the Commission's assessment that this recommendation is in planning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79950" name="Picture 1" descr="A circular graphic depicting the Commission's assessment that this recommendation is in planning and development."/>
                    <pic:cNvPicPr/>
                  </pic:nvPicPr>
                  <pic:blipFill>
                    <a:blip r:embed="rId10"/>
                    <a:stretch>
                      <a:fillRect/>
                    </a:stretch>
                  </pic:blipFill>
                  <pic:spPr>
                    <a:xfrm>
                      <a:off x="0" y="0"/>
                      <a:ext cx="1954800" cy="1980000"/>
                    </a:xfrm>
                    <a:prstGeom prst="rect">
                      <a:avLst/>
                    </a:prstGeom>
                  </pic:spPr>
                </pic:pic>
              </a:graphicData>
            </a:graphic>
          </wp:inline>
        </w:drawing>
      </w:r>
    </w:p>
    <w:p w14:paraId="49CE2727" w14:textId="77777777" w:rsidR="002F4A64" w:rsidRPr="00EF0705" w:rsidRDefault="002F4A64" w:rsidP="002F4A64">
      <w:pPr>
        <w:spacing w:line="276" w:lineRule="auto"/>
        <w:rPr>
          <w:rFonts w:ascii="Segoe UI" w:hAnsi="Segoe UI" w:cs="Segoe UI"/>
        </w:rPr>
      </w:pPr>
      <w:r>
        <w:rPr>
          <w:rFonts w:ascii="Segoe UI" w:hAnsi="Segoe UI" w:cs="Segoe UI"/>
        </w:rPr>
        <w:t xml:space="preserve">Given </w:t>
      </w:r>
      <w:r w:rsidRPr="00393CEB">
        <w:rPr>
          <w:rFonts w:ascii="Segoe UI" w:hAnsi="Segoe UI" w:cs="Segoe UI"/>
        </w:rPr>
        <w:t>benchmarks</w:t>
      </w:r>
      <w:r>
        <w:rPr>
          <w:rFonts w:ascii="Segoe UI" w:hAnsi="Segoe UI" w:cs="Segoe UI"/>
        </w:rPr>
        <w:t xml:space="preserve"> to measure the performance of the report and complaint system will be developed in 2025, Ambulance Victoria’s work towards implementation of this recommendation is in the planning and development stage.</w:t>
      </w:r>
    </w:p>
    <w:p w14:paraId="04C0D585" w14:textId="77777777" w:rsidR="002F4A64" w:rsidRPr="004766EB" w:rsidRDefault="002F4A64" w:rsidP="002F4A64">
      <w:pPr>
        <w:pStyle w:val="Heading2"/>
      </w:pPr>
      <w:bookmarkStart w:id="11" w:name="_Toc184117697"/>
      <w:bookmarkStart w:id="12" w:name="_Toc184136132"/>
      <w:r w:rsidRPr="00EF0705">
        <w:lastRenderedPageBreak/>
        <w:t>What measures are still needed?</w:t>
      </w:r>
      <w:bookmarkEnd w:id="11"/>
      <w:bookmarkEnd w:id="12"/>
    </w:p>
    <w:p w14:paraId="74CBF454" w14:textId="77777777" w:rsidR="002F4A64" w:rsidRDefault="002F4A64" w:rsidP="002F4A64">
      <w:pPr>
        <w:spacing w:line="276" w:lineRule="auto"/>
        <w:rPr>
          <w:rFonts w:ascii="Segoe UI" w:hAnsi="Segoe UI" w:cs="Segoe UI"/>
        </w:rPr>
      </w:pPr>
      <w:r w:rsidRPr="00547B18">
        <w:rPr>
          <w:rFonts w:ascii="Segoe UI" w:hAnsi="Segoe UI" w:cs="Segoe UI"/>
        </w:rPr>
        <w:t xml:space="preserve">Regular measuring of the report and complaints system’s effectiveness </w:t>
      </w:r>
      <w:r>
        <w:rPr>
          <w:rFonts w:ascii="Segoe UI" w:hAnsi="Segoe UI" w:cs="Segoe UI"/>
        </w:rPr>
        <w:t>through benchmarks will support</w:t>
      </w:r>
      <w:r w:rsidRPr="00547B18">
        <w:rPr>
          <w:rFonts w:ascii="Segoe UI" w:hAnsi="Segoe UI" w:cs="Segoe UI"/>
        </w:rPr>
        <w:t xml:space="preserve"> continual improvement of </w:t>
      </w:r>
      <w:r>
        <w:rPr>
          <w:rFonts w:ascii="Segoe UI" w:hAnsi="Segoe UI" w:cs="Segoe UI"/>
        </w:rPr>
        <w:t>Ambulance Victoria’s</w:t>
      </w:r>
      <w:r w:rsidRPr="00547B18">
        <w:rPr>
          <w:rFonts w:ascii="Segoe UI" w:hAnsi="Segoe UI" w:cs="Segoe UI"/>
        </w:rPr>
        <w:t xml:space="preserve"> report and complaint system in line with leading practice.</w:t>
      </w:r>
    </w:p>
    <w:p w14:paraId="4F693061" w14:textId="77777777" w:rsidR="002F4A64" w:rsidRPr="005B7DBB" w:rsidRDefault="002F4A64" w:rsidP="002F4A64">
      <w:pPr>
        <w:spacing w:line="276" w:lineRule="auto"/>
        <w:rPr>
          <w:rFonts w:ascii="Segoe UI" w:hAnsi="Segoe UI" w:cs="Segoe UI"/>
        </w:rPr>
      </w:pPr>
      <w:r w:rsidRPr="00BC5330">
        <w:rPr>
          <w:rFonts w:ascii="Segoe UI" w:hAnsi="Segoe UI" w:cs="Segoe UI"/>
        </w:rPr>
        <w:t xml:space="preserve">Once developed, these benchmarks will present significant opportunities to engage the enablers of reform. Transparency in processes creates a culture of shared responsibility, which is a </w:t>
      </w:r>
      <w:r w:rsidRPr="005B7DBB">
        <w:rPr>
          <w:rFonts w:ascii="Segoe UI" w:hAnsi="Segoe UI" w:cs="Segoe UI"/>
        </w:rPr>
        <w:t>crucial aspect of the Reform Enabler: Workforce Commitment. Throughout the Progress Evaluation Audit, the Commission found that many complaints received by the Professional Standards and Behaviours Department related to low-level incivility and should be resolved locally. Sharing accountability for these complaints – including accountabilities for resolving them at a local level without further escalation – is therefore a key element of the Reform Enabler: Distributed Leadership.</w:t>
      </w:r>
    </w:p>
    <w:p w14:paraId="11AFEA08" w14:textId="4DBFB10D" w:rsidR="006D056D" w:rsidRPr="005B7DBB" w:rsidRDefault="002F4A64" w:rsidP="002F4A64">
      <w:pPr>
        <w:spacing w:line="276" w:lineRule="auto"/>
        <w:rPr>
          <w:rFonts w:ascii="Segoe UI" w:hAnsi="Segoe UI" w:cs="Segoe UI"/>
        </w:rPr>
      </w:pPr>
      <w:r w:rsidRPr="005B7DBB">
        <w:rPr>
          <w:rFonts w:ascii="Segoe UI" w:hAnsi="Segoe UI" w:cs="Segoe UI"/>
        </w:rPr>
        <w:t xml:space="preserve">Working with key stakeholders in the health sector will also positively impact the existing Reform Barrier: Change Management Approach. Examples of positive change management can be seen in hospitals that have undergone radical structural change in recent years, including the Royal Melbourne Hospital. </w:t>
      </w:r>
    </w:p>
    <w:sectPr w:rsidR="006D056D" w:rsidRPr="005B7D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1F938" w14:textId="77777777" w:rsidR="002F4A64" w:rsidRDefault="002F4A64" w:rsidP="002F4A64">
      <w:pPr>
        <w:spacing w:after="0" w:line="240" w:lineRule="auto"/>
      </w:pPr>
      <w:r>
        <w:separator/>
      </w:r>
    </w:p>
  </w:endnote>
  <w:endnote w:type="continuationSeparator" w:id="0">
    <w:p w14:paraId="7C1E2F62" w14:textId="77777777" w:rsidR="002F4A64" w:rsidRDefault="002F4A64" w:rsidP="002F4A64">
      <w:pPr>
        <w:spacing w:after="0" w:line="240" w:lineRule="auto"/>
      </w:pPr>
      <w:r>
        <w:continuationSeparator/>
      </w:r>
    </w:p>
  </w:endnote>
  <w:endnote w:type="continuationNotice" w:id="1">
    <w:p w14:paraId="29CECC36" w14:textId="77777777" w:rsidR="00162A91" w:rsidRDefault="00162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D605" w14:textId="77777777" w:rsidR="002F4A64" w:rsidRDefault="002F4A64" w:rsidP="002F4A64">
      <w:pPr>
        <w:spacing w:after="0" w:line="240" w:lineRule="auto"/>
      </w:pPr>
      <w:r>
        <w:separator/>
      </w:r>
    </w:p>
  </w:footnote>
  <w:footnote w:type="continuationSeparator" w:id="0">
    <w:p w14:paraId="1450409E" w14:textId="77777777" w:rsidR="002F4A64" w:rsidRDefault="002F4A64" w:rsidP="002F4A64">
      <w:pPr>
        <w:spacing w:after="0" w:line="240" w:lineRule="auto"/>
      </w:pPr>
      <w:r>
        <w:continuationSeparator/>
      </w:r>
    </w:p>
  </w:footnote>
  <w:footnote w:type="continuationNotice" w:id="1">
    <w:p w14:paraId="42CB84B9" w14:textId="77777777" w:rsidR="00162A91" w:rsidRDefault="00162A91">
      <w:pPr>
        <w:spacing w:after="0" w:line="240" w:lineRule="auto"/>
      </w:pPr>
    </w:p>
  </w:footnote>
  <w:footnote w:id="2">
    <w:p w14:paraId="497737A1" w14:textId="77777777" w:rsidR="002F4A64" w:rsidRPr="00D665B8" w:rsidRDefault="002F4A64" w:rsidP="002F4A64">
      <w:pPr>
        <w:rPr>
          <w:rFonts w:cs="Segoe UI"/>
          <w:sz w:val="20"/>
          <w:szCs w:val="20"/>
        </w:rPr>
      </w:pPr>
      <w:r w:rsidRPr="00D665B8">
        <w:rPr>
          <w:rStyle w:val="FootnoteReference"/>
          <w:sz w:val="20"/>
          <w:szCs w:val="20"/>
        </w:rPr>
        <w:footnoteRef/>
      </w:r>
      <w:r w:rsidRPr="00D665B8">
        <w:rPr>
          <w:sz w:val="20"/>
          <w:szCs w:val="20"/>
        </w:rPr>
        <w:t xml:space="preserve"> </w:t>
      </w:r>
      <w:r w:rsidRPr="00D665B8">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D665B8">
        <w:rPr>
          <w:rFonts w:cs="Segoe UI"/>
          <w:sz w:val="20"/>
          <w:szCs w:val="20"/>
        </w:rPr>
        <w:t xml:space="preserve"> (Volume </w:t>
      </w:r>
      <w:r>
        <w:rPr>
          <w:rFonts w:cs="Segoe UI"/>
          <w:sz w:val="20"/>
          <w:szCs w:val="20"/>
        </w:rPr>
        <w:t>I</w:t>
      </w:r>
      <w:r w:rsidRPr="00A13972">
        <w:rPr>
          <w:rFonts w:cs="Segoe UI"/>
          <w:sz w:val="20"/>
          <w:szCs w:val="20"/>
        </w:rPr>
        <w:t>,</w:t>
      </w:r>
      <w:r w:rsidRPr="00D665B8">
        <w:rPr>
          <w:rFonts w:cs="Segoe UI"/>
          <w:sz w:val="20"/>
          <w:szCs w:val="20"/>
        </w:rPr>
        <w:t xml:space="preserve"> 2021) 494.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64"/>
    <w:rsid w:val="00074B37"/>
    <w:rsid w:val="00162A91"/>
    <w:rsid w:val="001F5514"/>
    <w:rsid w:val="002F4A64"/>
    <w:rsid w:val="005B7DBB"/>
    <w:rsid w:val="006D056D"/>
    <w:rsid w:val="00854935"/>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6C0C"/>
  <w15:chartTrackingRefBased/>
  <w15:docId w15:val="{1ED9EB1D-CF75-45D2-8176-8E9D670F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64"/>
  </w:style>
  <w:style w:type="paragraph" w:styleId="Heading1">
    <w:name w:val="heading 1"/>
    <w:basedOn w:val="Normal"/>
    <w:next w:val="Normal"/>
    <w:link w:val="Heading1Char"/>
    <w:qFormat/>
    <w:rsid w:val="002F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F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F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F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F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A64"/>
    <w:rPr>
      <w:rFonts w:eastAsiaTheme="majorEastAsia" w:cstheme="majorBidi"/>
      <w:color w:val="272727" w:themeColor="text1" w:themeTint="D8"/>
    </w:rPr>
  </w:style>
  <w:style w:type="paragraph" w:styleId="Title">
    <w:name w:val="Title"/>
    <w:basedOn w:val="Normal"/>
    <w:next w:val="Normal"/>
    <w:link w:val="TitleChar"/>
    <w:uiPriority w:val="10"/>
    <w:qFormat/>
    <w:rsid w:val="002F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A64"/>
    <w:pPr>
      <w:spacing w:before="160"/>
      <w:jc w:val="center"/>
    </w:pPr>
    <w:rPr>
      <w:i/>
      <w:iCs/>
      <w:color w:val="404040" w:themeColor="text1" w:themeTint="BF"/>
    </w:rPr>
  </w:style>
  <w:style w:type="character" w:customStyle="1" w:styleId="QuoteChar">
    <w:name w:val="Quote Char"/>
    <w:basedOn w:val="DefaultParagraphFont"/>
    <w:link w:val="Quote"/>
    <w:uiPriority w:val="29"/>
    <w:rsid w:val="002F4A64"/>
    <w:rPr>
      <w:i/>
      <w:iCs/>
      <w:color w:val="404040" w:themeColor="text1" w:themeTint="BF"/>
    </w:rPr>
  </w:style>
  <w:style w:type="paragraph" w:styleId="ListParagraph">
    <w:name w:val="List Paragraph"/>
    <w:basedOn w:val="Normal"/>
    <w:uiPriority w:val="34"/>
    <w:qFormat/>
    <w:rsid w:val="002F4A64"/>
    <w:pPr>
      <w:ind w:left="720"/>
      <w:contextualSpacing/>
    </w:pPr>
  </w:style>
  <w:style w:type="character" w:styleId="IntenseEmphasis">
    <w:name w:val="Intense Emphasis"/>
    <w:basedOn w:val="DefaultParagraphFont"/>
    <w:uiPriority w:val="21"/>
    <w:qFormat/>
    <w:rsid w:val="002F4A64"/>
    <w:rPr>
      <w:i/>
      <w:iCs/>
      <w:color w:val="0F4761" w:themeColor="accent1" w:themeShade="BF"/>
    </w:rPr>
  </w:style>
  <w:style w:type="paragraph" w:styleId="IntenseQuote">
    <w:name w:val="Intense Quote"/>
    <w:basedOn w:val="Normal"/>
    <w:next w:val="Normal"/>
    <w:link w:val="IntenseQuoteChar"/>
    <w:uiPriority w:val="30"/>
    <w:qFormat/>
    <w:rsid w:val="002F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A64"/>
    <w:rPr>
      <w:i/>
      <w:iCs/>
      <w:color w:val="0F4761" w:themeColor="accent1" w:themeShade="BF"/>
    </w:rPr>
  </w:style>
  <w:style w:type="character" w:styleId="IntenseReference">
    <w:name w:val="Intense Reference"/>
    <w:basedOn w:val="DefaultParagraphFont"/>
    <w:uiPriority w:val="32"/>
    <w:qFormat/>
    <w:rsid w:val="002F4A64"/>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2F4A64"/>
    <w:rPr>
      <w:vertAlign w:val="superscript"/>
    </w:rPr>
  </w:style>
  <w:style w:type="paragraph" w:styleId="NoSpacing">
    <w:name w:val="No Spacing"/>
    <w:uiPriority w:val="1"/>
    <w:qFormat/>
    <w:rsid w:val="002F4A64"/>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2F4A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2F4A64"/>
  </w:style>
  <w:style w:type="paragraph" w:styleId="Header">
    <w:name w:val="header"/>
    <w:basedOn w:val="Normal"/>
    <w:link w:val="HeaderChar"/>
    <w:uiPriority w:val="99"/>
    <w:semiHidden/>
    <w:unhideWhenUsed/>
    <w:rsid w:val="00162A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A91"/>
  </w:style>
  <w:style w:type="paragraph" w:styleId="Footer">
    <w:name w:val="footer"/>
    <w:basedOn w:val="Normal"/>
    <w:link w:val="FooterChar"/>
    <w:uiPriority w:val="99"/>
    <w:semiHidden/>
    <w:unhideWhenUsed/>
    <w:rsid w:val="00162A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9E4E0-BF27-42BB-999D-2C2F93BAA31C}">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c797cc59-9b55-482b-909b-1e567b47f3ea"/>
    <ds:schemaRef ds:uri="http://www.w3.org/XML/1998/namespace"/>
  </ds:schemaRefs>
</ds:datastoreItem>
</file>

<file path=customXml/itemProps2.xml><?xml version="1.0" encoding="utf-8"?>
<ds:datastoreItem xmlns:ds="http://schemas.openxmlformats.org/officeDocument/2006/customXml" ds:itemID="{B78CA9D1-825E-4290-9B57-AD97ABA3BED2}">
  <ds:schemaRefs>
    <ds:schemaRef ds:uri="http://schemas.microsoft.com/sharepoint/v3/contenttype/forms"/>
  </ds:schemaRefs>
</ds:datastoreItem>
</file>

<file path=customXml/itemProps3.xml><?xml version="1.0" encoding="utf-8"?>
<ds:datastoreItem xmlns:ds="http://schemas.openxmlformats.org/officeDocument/2006/customXml" ds:itemID="{7DB65912-2C81-422F-B7BA-6B09257F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2025-01-07T23:16:00Z</dcterms:created>
  <dcterms:modified xsi:type="dcterms:W3CDTF">2025-01-08T01:00:00Z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