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6CFAC" w14:textId="77777777" w:rsidR="001C29C9" w:rsidRPr="004F3160" w:rsidRDefault="001C29C9" w:rsidP="001C29C9">
      <w:pPr>
        <w:pStyle w:val="Heading1"/>
        <w:rPr>
          <w:lang w:val="en-US"/>
        </w:rPr>
      </w:pPr>
      <w:bookmarkStart w:id="0" w:name="_Toc178686527"/>
      <w:bookmarkStart w:id="1" w:name="_Toc184136176"/>
      <w:r w:rsidRPr="004F3160">
        <w:rPr>
          <w:lang w:val="en-US"/>
        </w:rPr>
        <w:t>Recommendation 33: Building knowledge, capability and accountability</w:t>
      </w:r>
      <w:bookmarkEnd w:id="0"/>
      <w:bookmarkEnd w:id="1"/>
    </w:p>
    <w:p w14:paraId="5949C995" w14:textId="77777777" w:rsidR="001C29C9" w:rsidRPr="004F3160" w:rsidRDefault="001C29C9" w:rsidP="001C29C9">
      <w:pPr>
        <w:spacing w:line="276" w:lineRule="auto"/>
        <w:rPr>
          <w:rFonts w:ascii="Segoe UI" w:hAnsi="Segoe UI" w:cs="Segoe UI"/>
        </w:rPr>
      </w:pPr>
      <w:r w:rsidRPr="004F3160">
        <w:rPr>
          <w:rFonts w:ascii="Segoe UI" w:hAnsi="Segoe UI" w:cs="Segoe UI"/>
        </w:rPr>
        <w:t xml:space="preserve">Recommendation 33 </w:t>
      </w:r>
      <w:r w:rsidRPr="00343456">
        <w:rPr>
          <w:rFonts w:ascii="Segoe UI" w:hAnsi="Segoe UI" w:cs="Segoe UI"/>
        </w:rPr>
        <w:t>requires</w:t>
      </w:r>
      <w:r w:rsidRPr="004F3160">
        <w:rPr>
          <w:rFonts w:ascii="Segoe UI" w:hAnsi="Segoe UI" w:cs="Segoe UI"/>
        </w:rPr>
        <w:t xml:space="preserve"> Ambulance Victoria to ensure all employees are aware of the organisation’s commitment to flexibility by embedding relevant content about rights and obligations under various frameworks and </w:t>
      </w:r>
      <w:r>
        <w:rPr>
          <w:rFonts w:ascii="Segoe UI" w:hAnsi="Segoe UI" w:cs="Segoe UI"/>
        </w:rPr>
        <w:t>A</w:t>
      </w:r>
      <w:r w:rsidRPr="004F3160">
        <w:rPr>
          <w:rFonts w:ascii="Segoe UI" w:hAnsi="Segoe UI" w:cs="Segoe UI"/>
        </w:rPr>
        <w:t xml:space="preserve">cts into induction and training programs. It also </w:t>
      </w:r>
      <w:r>
        <w:rPr>
          <w:rFonts w:ascii="Segoe UI" w:hAnsi="Segoe UI" w:cs="Segoe UI"/>
        </w:rPr>
        <w:t>requires Ambulance Victoria to</w:t>
      </w:r>
      <w:r w:rsidRPr="004F3160">
        <w:rPr>
          <w:rFonts w:ascii="Segoe UI" w:hAnsi="Segoe UI" w:cs="Segoe UI"/>
        </w:rPr>
        <w:t xml:space="preserve"> build managerial capability </w:t>
      </w:r>
      <w:r>
        <w:rPr>
          <w:rFonts w:ascii="Segoe UI" w:hAnsi="Segoe UI" w:cs="Segoe UI"/>
        </w:rPr>
        <w:t>through targeted training, resources and tools. The recommendation further requires Ambulance Victoria to embed flexibility KPIs by requiring m</w:t>
      </w:r>
      <w:r w:rsidRPr="004F3160">
        <w:rPr>
          <w:rFonts w:ascii="Segoe UI" w:hAnsi="Segoe UI" w:cs="Segoe UI"/>
        </w:rPr>
        <w:t xml:space="preserve">anagers </w:t>
      </w:r>
      <w:r>
        <w:rPr>
          <w:rFonts w:ascii="Segoe UI" w:hAnsi="Segoe UI" w:cs="Segoe UI"/>
        </w:rPr>
        <w:t>to</w:t>
      </w:r>
      <w:r w:rsidRPr="004F3160">
        <w:rPr>
          <w:rFonts w:ascii="Segoe UI" w:hAnsi="Segoe UI" w:cs="Segoe UI"/>
        </w:rPr>
        <w:t xml:space="preserve"> document reasons for </w:t>
      </w:r>
      <w:r>
        <w:rPr>
          <w:rFonts w:ascii="Segoe UI" w:hAnsi="Segoe UI" w:cs="Segoe UI"/>
        </w:rPr>
        <w:t>refusing</w:t>
      </w:r>
      <w:r w:rsidRPr="004F3160">
        <w:rPr>
          <w:rFonts w:ascii="Segoe UI" w:hAnsi="Segoe UI" w:cs="Segoe UI"/>
        </w:rPr>
        <w:t xml:space="preserve"> flexibility requests and recognis</w:t>
      </w:r>
      <w:r>
        <w:rPr>
          <w:rFonts w:ascii="Segoe UI" w:hAnsi="Segoe UI" w:cs="Segoe UI"/>
        </w:rPr>
        <w:t xml:space="preserve">ing managers who </w:t>
      </w:r>
      <w:r w:rsidRPr="004F3160">
        <w:rPr>
          <w:rFonts w:ascii="Segoe UI" w:hAnsi="Segoe UI" w:cs="Segoe UI"/>
        </w:rPr>
        <w:t>promote flexibility as meeting KPIs.</w:t>
      </w:r>
    </w:p>
    <w:p w14:paraId="7EC739A2" w14:textId="77777777" w:rsidR="001C29C9" w:rsidRPr="004F3160" w:rsidRDefault="001C29C9" w:rsidP="001C29C9">
      <w:pPr>
        <w:pStyle w:val="Heading2"/>
      </w:pPr>
      <w:bookmarkStart w:id="2" w:name="_Toc178686529"/>
      <w:bookmarkStart w:id="3" w:name="_Toc184117743"/>
      <w:bookmarkStart w:id="4" w:name="_Toc184136178"/>
      <w:r w:rsidRPr="004F3160">
        <w:t>Recommendation intent and why it matters</w:t>
      </w:r>
      <w:bookmarkEnd w:id="2"/>
      <w:bookmarkEnd w:id="3"/>
      <w:bookmarkEnd w:id="4"/>
    </w:p>
    <w:p w14:paraId="3BFAFA42" w14:textId="77777777" w:rsidR="001C29C9" w:rsidRPr="00B6351E" w:rsidRDefault="001C29C9" w:rsidP="001C29C9">
      <w:pPr>
        <w:spacing w:line="276" w:lineRule="auto"/>
        <w:rPr>
          <w:rFonts w:ascii="Segoe UI" w:hAnsi="Segoe UI" w:cs="Segoe UI"/>
          <w:lang w:val="en-US"/>
        </w:rPr>
      </w:pPr>
      <w:r w:rsidRPr="004F3160">
        <w:rPr>
          <w:rFonts w:ascii="Segoe UI" w:hAnsi="Segoe UI" w:cs="Segoe UI"/>
          <w:lang w:val="en-US"/>
        </w:rPr>
        <w:t xml:space="preserve">This </w:t>
      </w:r>
      <w:r w:rsidRPr="00B6351E">
        <w:rPr>
          <w:rFonts w:ascii="Segoe UI" w:hAnsi="Segoe UI" w:cs="Segoe UI"/>
        </w:rPr>
        <w:t>recommendation</w:t>
      </w:r>
      <w:r w:rsidRPr="004F3160">
        <w:rPr>
          <w:rFonts w:ascii="Segoe UI" w:hAnsi="Segoe UI" w:cs="Segoe UI"/>
          <w:lang w:val="en-US"/>
        </w:rPr>
        <w:t xml:space="preserve"> aims to enhance the workforce’s understanding of their rights and obligations regarding flexible work, improve managers’ ability to promote and support workplace flexibility</w:t>
      </w:r>
      <w:r>
        <w:rPr>
          <w:rFonts w:ascii="Segoe UI" w:hAnsi="Segoe UI" w:cs="Segoe UI"/>
          <w:lang w:val="en-US"/>
        </w:rPr>
        <w:t>,</w:t>
      </w:r>
      <w:r w:rsidRPr="004F3160">
        <w:rPr>
          <w:rFonts w:ascii="Segoe UI" w:hAnsi="Segoe UI" w:cs="Segoe UI"/>
          <w:lang w:val="en-US"/>
        </w:rPr>
        <w:t xml:space="preserve"> and ensure that all flexible work requests are considered and responded to appropriately and in accordance with legal requirements.</w:t>
      </w:r>
    </w:p>
    <w:p w14:paraId="265F79F0" w14:textId="77777777" w:rsidR="001C29C9" w:rsidRPr="004F3160" w:rsidRDefault="001C29C9" w:rsidP="001C29C9">
      <w:pPr>
        <w:spacing w:line="276" w:lineRule="auto"/>
        <w:rPr>
          <w:rFonts w:ascii="Segoe UI" w:hAnsi="Segoe UI" w:cs="Segoe UI"/>
        </w:rPr>
      </w:pPr>
      <w:r w:rsidRPr="004F3160">
        <w:rPr>
          <w:rFonts w:ascii="Segoe UI" w:hAnsi="Segoe UI" w:cs="Segoe UI"/>
        </w:rPr>
        <w:t>Building knowledge, capability and accountability around workplace flexibility will ensure compliance with legislation and leading practice. It will also promote improvements in productivity, innovation, employee attraction and retention, employee health and wellbeing, workplace safety, enhanced customer service and reduced absence.</w:t>
      </w:r>
    </w:p>
    <w:p w14:paraId="37D5BC5D" w14:textId="77777777" w:rsidR="001C29C9" w:rsidRPr="004F3160" w:rsidRDefault="001C29C9" w:rsidP="001C29C9">
      <w:pPr>
        <w:pStyle w:val="Heading2"/>
      </w:pPr>
      <w:bookmarkStart w:id="5" w:name="_Toc178686531"/>
      <w:bookmarkStart w:id="6" w:name="_Toc184117744"/>
      <w:bookmarkStart w:id="7" w:name="_Toc184136179"/>
      <w:r w:rsidRPr="004F3160">
        <w:t>Findings</w:t>
      </w:r>
      <w:bookmarkEnd w:id="5"/>
      <w:bookmarkEnd w:id="6"/>
      <w:bookmarkEnd w:id="7"/>
    </w:p>
    <w:p w14:paraId="1DA7FCE6" w14:textId="77777777" w:rsidR="001C29C9" w:rsidRPr="004F3160" w:rsidRDefault="001C29C9" w:rsidP="001C29C9">
      <w:pPr>
        <w:pStyle w:val="Heading3"/>
      </w:pPr>
      <w:bookmarkStart w:id="8" w:name="_Toc178686532"/>
      <w:bookmarkStart w:id="9" w:name="_Toc184117745"/>
      <w:bookmarkStart w:id="10" w:name="_Toc184136180"/>
      <w:r w:rsidRPr="004F3160">
        <w:t xml:space="preserve">What we found in </w:t>
      </w:r>
      <w:bookmarkEnd w:id="8"/>
      <w:r>
        <w:t>Phase 1 of the Review</w:t>
      </w:r>
      <w:bookmarkEnd w:id="9"/>
      <w:bookmarkEnd w:id="10"/>
    </w:p>
    <w:p w14:paraId="509DD779" w14:textId="77777777" w:rsidR="001C29C9" w:rsidRPr="004F3160" w:rsidRDefault="001C29C9" w:rsidP="001C29C9">
      <w:pPr>
        <w:spacing w:line="276" w:lineRule="auto"/>
        <w:rPr>
          <w:rFonts w:ascii="Segoe UI" w:eastAsiaTheme="majorEastAsia" w:hAnsi="Segoe UI" w:cs="Segoe UI"/>
        </w:rPr>
      </w:pPr>
      <w:r w:rsidRPr="004F3160">
        <w:rPr>
          <w:rFonts w:ascii="Segoe UI" w:eastAsiaTheme="majorEastAsia" w:hAnsi="Segoe UI" w:cs="Segoe UI"/>
        </w:rPr>
        <w:t xml:space="preserve">During </w:t>
      </w:r>
      <w:r>
        <w:rPr>
          <w:rFonts w:ascii="Segoe UI" w:eastAsiaTheme="majorEastAsia" w:hAnsi="Segoe UI" w:cs="Segoe UI"/>
        </w:rPr>
        <w:t>Phase 1 of the Review</w:t>
      </w:r>
      <w:r w:rsidRPr="004F3160">
        <w:rPr>
          <w:rFonts w:ascii="Segoe UI" w:eastAsiaTheme="majorEastAsia" w:hAnsi="Segoe UI" w:cs="Segoe UI"/>
        </w:rPr>
        <w:t xml:space="preserve">, the Commission found that managers had complete discretion to approve or deny flexible work requests. It was also noted that some managers were not providing written responses or reasons for refusals, which </w:t>
      </w:r>
      <w:r>
        <w:rPr>
          <w:rFonts w:ascii="Segoe UI" w:eastAsiaTheme="majorEastAsia" w:hAnsi="Segoe UI" w:cs="Segoe UI"/>
        </w:rPr>
        <w:t>are</w:t>
      </w:r>
      <w:r w:rsidRPr="004F3160">
        <w:rPr>
          <w:rFonts w:ascii="Segoe UI" w:eastAsiaTheme="majorEastAsia" w:hAnsi="Segoe UI" w:cs="Segoe UI"/>
        </w:rPr>
        <w:t xml:space="preserve"> requirement</w:t>
      </w:r>
      <w:r>
        <w:rPr>
          <w:rFonts w:ascii="Segoe UI" w:eastAsiaTheme="majorEastAsia" w:hAnsi="Segoe UI" w:cs="Segoe UI"/>
        </w:rPr>
        <w:t>s</w:t>
      </w:r>
      <w:r w:rsidRPr="004F3160">
        <w:rPr>
          <w:rFonts w:ascii="Segoe UI" w:eastAsiaTheme="majorEastAsia" w:hAnsi="Segoe UI" w:cs="Segoe UI"/>
        </w:rPr>
        <w:t xml:space="preserve"> under the </w:t>
      </w:r>
      <w:r w:rsidRPr="004F3160">
        <w:rPr>
          <w:rFonts w:ascii="Segoe UI" w:eastAsiaTheme="majorEastAsia" w:hAnsi="Segoe UI" w:cs="Segoe UI"/>
          <w:i/>
          <w:iCs/>
        </w:rPr>
        <w:t>Fair Work Act 2009</w:t>
      </w:r>
      <w:r w:rsidRPr="004F3160">
        <w:rPr>
          <w:rFonts w:ascii="Segoe UI" w:eastAsiaTheme="majorEastAsia" w:hAnsi="Segoe UI" w:cs="Segoe UI"/>
        </w:rPr>
        <w:t xml:space="preserve"> (</w:t>
      </w:r>
      <w:proofErr w:type="spellStart"/>
      <w:r w:rsidRPr="004F3160">
        <w:rPr>
          <w:rFonts w:ascii="Segoe UI" w:eastAsiaTheme="majorEastAsia" w:hAnsi="Segoe UI" w:cs="Segoe UI"/>
        </w:rPr>
        <w:t>Cth</w:t>
      </w:r>
      <w:proofErr w:type="spellEnd"/>
      <w:r w:rsidRPr="004F3160">
        <w:rPr>
          <w:rFonts w:ascii="Segoe UI" w:eastAsiaTheme="majorEastAsia" w:hAnsi="Segoe UI" w:cs="Segoe UI"/>
        </w:rPr>
        <w:t>).</w:t>
      </w:r>
      <w:r>
        <w:rPr>
          <w:rFonts w:ascii="Segoe UI" w:eastAsiaTheme="majorEastAsia" w:hAnsi="Segoe UI" w:cs="Segoe UI"/>
        </w:rPr>
        <w:t xml:space="preserve"> </w:t>
      </w:r>
      <w:r w:rsidRPr="004F3160">
        <w:rPr>
          <w:rFonts w:ascii="Segoe UI" w:eastAsiaTheme="majorEastAsia" w:hAnsi="Segoe UI" w:cs="Segoe UI"/>
        </w:rPr>
        <w:t xml:space="preserve">Additionally, there was no mechanism in place to ensure compliance with legal obligations. </w:t>
      </w:r>
    </w:p>
    <w:p w14:paraId="52602794" w14:textId="77777777" w:rsidR="001C29C9" w:rsidRPr="004F3160" w:rsidRDefault="001C29C9" w:rsidP="001C29C9">
      <w:pPr>
        <w:spacing w:line="276" w:lineRule="auto"/>
        <w:rPr>
          <w:rStyle w:val="normaltextrun"/>
          <w:rFonts w:ascii="Segoe UI" w:eastAsiaTheme="majorEastAsia" w:hAnsi="Segoe UI" w:cs="Segoe UI"/>
        </w:rPr>
      </w:pPr>
      <w:r>
        <w:rPr>
          <w:rFonts w:ascii="Segoe UI" w:eastAsiaTheme="majorEastAsia" w:hAnsi="Segoe UI" w:cs="Segoe UI"/>
        </w:rPr>
        <w:t>Phase 1 of the Review</w:t>
      </w:r>
      <w:r w:rsidRPr="004F3160">
        <w:rPr>
          <w:rFonts w:ascii="Segoe UI" w:eastAsiaTheme="majorEastAsia" w:hAnsi="Segoe UI" w:cs="Segoe UI"/>
        </w:rPr>
        <w:t xml:space="preserve"> also highlighted </w:t>
      </w:r>
      <w:proofErr w:type="gramStart"/>
      <w:r>
        <w:rPr>
          <w:rFonts w:ascii="Segoe UI" w:eastAsiaTheme="majorEastAsia" w:hAnsi="Segoe UI" w:cs="Segoe UI"/>
        </w:rPr>
        <w:t xml:space="preserve">that </w:t>
      </w:r>
      <w:r w:rsidRPr="004F3160">
        <w:rPr>
          <w:rFonts w:ascii="Segoe UI" w:eastAsiaTheme="majorEastAsia" w:hAnsi="Segoe UI" w:cs="Segoe UI"/>
        </w:rPr>
        <w:t>managers</w:t>
      </w:r>
      <w:proofErr w:type="gramEnd"/>
      <w:r w:rsidRPr="004F3160">
        <w:rPr>
          <w:rFonts w:ascii="Segoe UI" w:eastAsiaTheme="majorEastAsia" w:hAnsi="Segoe UI" w:cs="Segoe UI"/>
        </w:rPr>
        <w:t xml:space="preserve"> often lacked sufficient guidance, capacity, knowledge and, in some instances, the autonomy necessary to facilitate and support increased flexibility, especially for operational staff.</w:t>
      </w:r>
    </w:p>
    <w:p w14:paraId="4DDB44D0" w14:textId="77777777" w:rsidR="001C29C9" w:rsidRPr="004F3160" w:rsidRDefault="001C29C9" w:rsidP="001C29C9">
      <w:pPr>
        <w:pStyle w:val="Heading3"/>
      </w:pPr>
      <w:bookmarkStart w:id="11" w:name="_Toc178686533"/>
      <w:bookmarkStart w:id="12" w:name="_Toc184117746"/>
      <w:bookmarkStart w:id="13" w:name="_Toc184136181"/>
      <w:r w:rsidRPr="004F3160">
        <w:t xml:space="preserve">What we found in </w:t>
      </w:r>
      <w:bookmarkEnd w:id="11"/>
      <w:r>
        <w:t>Phase 3 of the Review</w:t>
      </w:r>
      <w:bookmarkEnd w:id="12"/>
      <w:bookmarkEnd w:id="13"/>
    </w:p>
    <w:p w14:paraId="6FEBB68D" w14:textId="77777777" w:rsidR="001C29C9" w:rsidRPr="004F3160" w:rsidRDefault="001C29C9" w:rsidP="001C29C9">
      <w:pPr>
        <w:pStyle w:val="paragraph"/>
        <w:rPr>
          <w:rFonts w:ascii="Segoe UI" w:eastAsiaTheme="majorEastAsia" w:hAnsi="Segoe UI" w:cs="Segoe UI"/>
          <w:b/>
          <w:bCs/>
          <w:sz w:val="22"/>
          <w:szCs w:val="22"/>
        </w:rPr>
      </w:pPr>
      <w:r w:rsidRPr="004F3160">
        <w:rPr>
          <w:rFonts w:ascii="Segoe UI" w:eastAsiaTheme="majorEastAsia" w:hAnsi="Segoe UI" w:cs="Segoe UI"/>
          <w:b/>
          <w:bCs/>
          <w:sz w:val="22"/>
          <w:szCs w:val="22"/>
        </w:rPr>
        <w:t>Ambulance Victoria is yet to commence implementing Recommendation 33 and intends to do so in 2025</w:t>
      </w:r>
    </w:p>
    <w:p w14:paraId="40C73B01" w14:textId="77777777" w:rsidR="001C29C9" w:rsidRPr="004F3160" w:rsidRDefault="001C29C9" w:rsidP="001C29C9">
      <w:pPr>
        <w:spacing w:line="276" w:lineRule="auto"/>
        <w:rPr>
          <w:rFonts w:ascii="Segoe UI" w:hAnsi="Segoe UI" w:cs="Segoe UI"/>
        </w:rPr>
      </w:pPr>
      <w:r w:rsidRPr="004F3160">
        <w:rPr>
          <w:rFonts w:ascii="Segoe UI" w:hAnsi="Segoe UI" w:cs="Segoe UI"/>
        </w:rPr>
        <w:lastRenderedPageBreak/>
        <w:t xml:space="preserve">The Commission </w:t>
      </w:r>
      <w:r w:rsidRPr="00B6351E">
        <w:rPr>
          <w:rFonts w:ascii="Segoe UI" w:eastAsiaTheme="majorEastAsia" w:hAnsi="Segoe UI" w:cs="Segoe UI"/>
        </w:rPr>
        <w:t>found</w:t>
      </w:r>
      <w:r w:rsidRPr="004F3160">
        <w:rPr>
          <w:rFonts w:ascii="Segoe UI" w:hAnsi="Segoe UI" w:cs="Segoe UI"/>
        </w:rPr>
        <w:t xml:space="preserve"> that Ambulance Victoria has undertaken limited activities to achieve change for this recommendation. Despite this, employees appear to be more aware of their rights and </w:t>
      </w:r>
      <w:r>
        <w:rPr>
          <w:rFonts w:ascii="Segoe UI" w:hAnsi="Segoe UI" w:cs="Segoe UI"/>
        </w:rPr>
        <w:t xml:space="preserve">more </w:t>
      </w:r>
      <w:r w:rsidRPr="004F3160">
        <w:rPr>
          <w:rFonts w:ascii="Segoe UI" w:hAnsi="Segoe UI" w:cs="Segoe UI"/>
        </w:rPr>
        <w:t>comfortable discussing flexibility in the workplace.</w:t>
      </w:r>
    </w:p>
    <w:p w14:paraId="362F71E7" w14:textId="550AA310" w:rsidR="001C29C9" w:rsidRPr="001C29C9" w:rsidRDefault="001C29C9" w:rsidP="001C29C9">
      <w:pPr>
        <w:pStyle w:val="Quote"/>
        <w:rPr>
          <w:rFonts w:ascii="Segoe UI" w:hAnsi="Segoe UI" w:cs="Segoe UI"/>
          <w:color w:val="auto"/>
        </w:rPr>
      </w:pPr>
      <w:r w:rsidRPr="001C29C9">
        <w:rPr>
          <w:rFonts w:ascii="Segoe UI" w:hAnsi="Segoe UI" w:cs="Segoe UI"/>
          <w:color w:val="auto"/>
        </w:rPr>
        <w:t xml:space="preserve">What we've been doing is building our own suite of tools internally. So, on our intranet around those same topics, so leading self, leading others, etc., to allow everyone to, to have more AV-specific tools around how to have conversations with your staff, difficult conversations with your staff, how to raise things to your manager. And that all supports those conversations about why I </w:t>
      </w:r>
      <w:proofErr w:type="gramStart"/>
      <w:r w:rsidRPr="001C29C9">
        <w:rPr>
          <w:rFonts w:ascii="Segoe UI" w:hAnsi="Segoe UI" w:cs="Segoe UI"/>
          <w:color w:val="auto"/>
        </w:rPr>
        <w:t>actually want</w:t>
      </w:r>
      <w:proofErr w:type="gramEnd"/>
      <w:r w:rsidRPr="001C29C9">
        <w:rPr>
          <w:rFonts w:ascii="Segoe UI" w:hAnsi="Segoe UI" w:cs="Segoe UI"/>
          <w:color w:val="auto"/>
        </w:rPr>
        <w:t xml:space="preserve"> to go to four days a week and I don't know how to raise that, and I don't know how to negotiate the right position for me. And it provides those tools.</w:t>
      </w:r>
    </w:p>
    <w:p w14:paraId="55316AE8" w14:textId="5F781BC8" w:rsidR="001C29C9" w:rsidRPr="001C29C9" w:rsidRDefault="001C29C9" w:rsidP="001C29C9">
      <w:pPr>
        <w:pStyle w:val="Quote"/>
        <w:rPr>
          <w:rFonts w:ascii="Segoe UI" w:hAnsi="Segoe UI" w:cs="Segoe UI"/>
          <w:color w:val="auto"/>
        </w:rPr>
      </w:pPr>
      <w:r w:rsidRPr="001C29C9">
        <w:rPr>
          <w:rFonts w:ascii="Segoe UI" w:hAnsi="Segoe UI" w:cs="Segoe UI"/>
          <w:color w:val="auto"/>
        </w:rPr>
        <w:t>Participant</w:t>
      </w:r>
    </w:p>
    <w:p w14:paraId="63DF24C4" w14:textId="77777777" w:rsidR="001C29C9" w:rsidRPr="004F3160" w:rsidRDefault="001C29C9" w:rsidP="001C29C9">
      <w:pPr>
        <w:spacing w:line="276" w:lineRule="auto"/>
        <w:rPr>
          <w:rFonts w:ascii="Segoe UI" w:hAnsi="Segoe UI" w:cs="Segoe UI"/>
        </w:rPr>
      </w:pPr>
      <w:r w:rsidRPr="004F3160">
        <w:rPr>
          <w:rFonts w:ascii="Segoe UI" w:hAnsi="Segoe UI" w:cs="Segoe UI"/>
        </w:rPr>
        <w:t xml:space="preserve">This </w:t>
      </w:r>
      <w:r>
        <w:rPr>
          <w:rFonts w:ascii="Segoe UI" w:hAnsi="Segoe UI" w:cs="Segoe UI"/>
        </w:rPr>
        <w:t>awareness among the workforce</w:t>
      </w:r>
      <w:r w:rsidRPr="004F3160">
        <w:rPr>
          <w:rFonts w:ascii="Segoe UI" w:hAnsi="Segoe UI" w:cs="Segoe UI"/>
        </w:rPr>
        <w:t xml:space="preserve"> includes the extent to which </w:t>
      </w:r>
      <w:r w:rsidRPr="007A3254">
        <w:rPr>
          <w:rFonts w:ascii="Segoe UI" w:hAnsi="Segoe UI" w:cs="Segoe UI"/>
        </w:rPr>
        <w:t xml:space="preserve">Flexible Work </w:t>
      </w:r>
      <w:r>
        <w:rPr>
          <w:rFonts w:ascii="Segoe UI" w:hAnsi="Segoe UI" w:cs="Segoe UI"/>
        </w:rPr>
        <w:t>Arrangements (FWAs)</w:t>
      </w:r>
      <w:r w:rsidRPr="004F3160">
        <w:rPr>
          <w:rFonts w:ascii="Segoe UI" w:hAnsi="Segoe UI" w:cs="Segoe UI"/>
        </w:rPr>
        <w:t xml:space="preserve"> act as a barrier to career development. In response to the Commission’s </w:t>
      </w:r>
      <w:r>
        <w:rPr>
          <w:rFonts w:ascii="Segoe UI" w:hAnsi="Segoe UI" w:cs="Segoe UI"/>
        </w:rPr>
        <w:t xml:space="preserve">2024 </w:t>
      </w:r>
      <w:r w:rsidRPr="004F3160">
        <w:rPr>
          <w:rFonts w:ascii="Segoe UI" w:hAnsi="Segoe UI" w:cs="Segoe UI"/>
        </w:rPr>
        <w:t>workforce survey:</w:t>
      </w:r>
    </w:p>
    <w:p w14:paraId="02924EEB" w14:textId="77777777" w:rsidR="001C29C9" w:rsidRPr="00CE02E7" w:rsidRDefault="001C29C9" w:rsidP="001C29C9">
      <w:pPr>
        <w:pStyle w:val="ListParagraph"/>
        <w:numPr>
          <w:ilvl w:val="0"/>
          <w:numId w:val="1"/>
        </w:numPr>
        <w:rPr>
          <w:rFonts w:ascii="Segoe UI" w:eastAsiaTheme="majorEastAsia" w:hAnsi="Segoe UI" w:cs="Segoe UI"/>
        </w:rPr>
      </w:pPr>
      <w:r w:rsidRPr="00CE02E7">
        <w:rPr>
          <w:rFonts w:ascii="Segoe UI" w:eastAsiaTheme="majorEastAsia" w:hAnsi="Segoe UI" w:cs="Segoe UI"/>
        </w:rPr>
        <w:t>41% of respondents indicated that being a parent or carer was a barrier to career advancement.</w:t>
      </w:r>
    </w:p>
    <w:p w14:paraId="41EA4D6F" w14:textId="77777777" w:rsidR="001C29C9" w:rsidRPr="00CE02E7" w:rsidRDefault="001C29C9" w:rsidP="001C29C9">
      <w:pPr>
        <w:pStyle w:val="ListParagraph"/>
        <w:numPr>
          <w:ilvl w:val="0"/>
          <w:numId w:val="1"/>
        </w:numPr>
        <w:rPr>
          <w:rFonts w:ascii="Segoe UI" w:eastAsiaTheme="majorEastAsia" w:hAnsi="Segoe UI" w:cs="Segoe UI"/>
        </w:rPr>
      </w:pPr>
      <w:r>
        <w:rPr>
          <w:rFonts w:ascii="Segoe UI" w:eastAsiaTheme="majorEastAsia" w:hAnsi="Segoe UI" w:cs="Segoe UI"/>
        </w:rPr>
        <w:t>A</w:t>
      </w:r>
      <w:r w:rsidRPr="00C25408">
        <w:rPr>
          <w:rFonts w:ascii="Segoe UI" w:eastAsiaTheme="majorEastAsia" w:hAnsi="Segoe UI" w:cs="Segoe UI"/>
        </w:rPr>
        <w:t>mbulance paramedics with less than 12 months experience</w:t>
      </w:r>
      <w:r w:rsidRPr="00CE02E7">
        <w:rPr>
          <w:rFonts w:ascii="Segoe UI" w:eastAsiaTheme="majorEastAsia" w:hAnsi="Segoe UI" w:cs="Segoe UI"/>
        </w:rPr>
        <w:t xml:space="preserve">, </w:t>
      </w:r>
      <w:r>
        <w:rPr>
          <w:rFonts w:ascii="Segoe UI" w:eastAsiaTheme="majorEastAsia" w:hAnsi="Segoe UI" w:cs="Segoe UI"/>
        </w:rPr>
        <w:t>Advanced Life Support</w:t>
      </w:r>
      <w:r w:rsidRPr="00CE02E7">
        <w:rPr>
          <w:rFonts w:ascii="Segoe UI" w:eastAsiaTheme="majorEastAsia" w:hAnsi="Segoe UI" w:cs="Segoe UI"/>
        </w:rPr>
        <w:t xml:space="preserve"> and </w:t>
      </w:r>
      <w:r>
        <w:rPr>
          <w:rFonts w:ascii="Segoe UI" w:eastAsiaTheme="majorEastAsia" w:hAnsi="Segoe UI" w:cs="Segoe UI"/>
        </w:rPr>
        <w:t>Mobile Intensive Care Ambulance</w:t>
      </w:r>
      <w:r w:rsidRPr="00CE02E7">
        <w:rPr>
          <w:rFonts w:ascii="Segoe UI" w:eastAsiaTheme="majorEastAsia" w:hAnsi="Segoe UI" w:cs="Segoe UI"/>
        </w:rPr>
        <w:t xml:space="preserve"> intern employees were particularly likely to feel that having a</w:t>
      </w:r>
      <w:r>
        <w:rPr>
          <w:rFonts w:ascii="Segoe UI" w:eastAsiaTheme="majorEastAsia" w:hAnsi="Segoe UI" w:cs="Segoe UI"/>
        </w:rPr>
        <w:t>n</w:t>
      </w:r>
      <w:r w:rsidRPr="00CE02E7">
        <w:rPr>
          <w:rFonts w:ascii="Segoe UI" w:eastAsiaTheme="majorEastAsia" w:hAnsi="Segoe UI" w:cs="Segoe UI"/>
        </w:rPr>
        <w:t xml:space="preserve"> FWA (62% to 66% agreed) and being a parent/carer (50</w:t>
      </w:r>
      <w:r>
        <w:rPr>
          <w:rFonts w:ascii="Segoe UI" w:eastAsiaTheme="majorEastAsia" w:hAnsi="Segoe UI" w:cs="Segoe UI"/>
        </w:rPr>
        <w:t>%</w:t>
      </w:r>
      <w:r w:rsidRPr="00CE02E7">
        <w:rPr>
          <w:rFonts w:ascii="Segoe UI" w:eastAsiaTheme="majorEastAsia" w:hAnsi="Segoe UI" w:cs="Segoe UI"/>
        </w:rPr>
        <w:t xml:space="preserve"> to 55% agreed) were barriers to advancement. </w:t>
      </w:r>
    </w:p>
    <w:p w14:paraId="54A980C7" w14:textId="77777777" w:rsidR="001C29C9" w:rsidRPr="00CE02E7" w:rsidRDefault="001C29C9" w:rsidP="001C29C9">
      <w:pPr>
        <w:pStyle w:val="ListParagraph"/>
        <w:numPr>
          <w:ilvl w:val="0"/>
          <w:numId w:val="1"/>
        </w:numPr>
        <w:rPr>
          <w:rFonts w:ascii="Segoe UI" w:eastAsiaTheme="majorEastAsia" w:hAnsi="Segoe UI" w:cs="Segoe UI"/>
        </w:rPr>
      </w:pPr>
      <w:r w:rsidRPr="00CE02E7">
        <w:rPr>
          <w:rFonts w:ascii="Segoe UI" w:eastAsiaTheme="majorEastAsia" w:hAnsi="Segoe UI" w:cs="Segoe UI"/>
        </w:rPr>
        <w:t>Among the 683 respondents who did not feel psychologically safe at work, 19.6% nominated work</w:t>
      </w:r>
      <w:r>
        <w:rPr>
          <w:rFonts w:ascii="Segoe UI" w:eastAsiaTheme="majorEastAsia" w:hAnsi="Segoe UI" w:cs="Segoe UI"/>
        </w:rPr>
        <w:t>–</w:t>
      </w:r>
      <w:r w:rsidRPr="00CE02E7">
        <w:rPr>
          <w:rFonts w:ascii="Segoe UI" w:eastAsiaTheme="majorEastAsia" w:hAnsi="Segoe UI" w:cs="Segoe UI"/>
        </w:rPr>
        <w:t>life balance and FWA issues as reasons why.</w:t>
      </w:r>
    </w:p>
    <w:p w14:paraId="05BE40E4" w14:textId="77777777" w:rsidR="001C29C9" w:rsidRPr="001C29C9" w:rsidRDefault="001C29C9" w:rsidP="001C29C9">
      <w:pPr>
        <w:spacing w:line="276" w:lineRule="auto"/>
        <w:rPr>
          <w:rFonts w:ascii="Segoe UI" w:hAnsi="Segoe UI" w:cs="Segoe UI"/>
        </w:rPr>
      </w:pPr>
      <w:r>
        <w:rPr>
          <w:rFonts w:ascii="Segoe UI" w:hAnsi="Segoe UI" w:cs="Segoe UI"/>
        </w:rPr>
        <w:t xml:space="preserve">During the Progress Evaluation Audit, Ambulance Victoria did not provide the Commission with information to demonstrate that </w:t>
      </w:r>
      <w:r w:rsidRPr="004F3160">
        <w:rPr>
          <w:rFonts w:ascii="Segoe UI" w:hAnsi="Segoe UI" w:cs="Segoe UI"/>
        </w:rPr>
        <w:t>managers ha</w:t>
      </w:r>
      <w:r>
        <w:rPr>
          <w:rFonts w:ascii="Segoe UI" w:hAnsi="Segoe UI" w:cs="Segoe UI"/>
        </w:rPr>
        <w:t>d</w:t>
      </w:r>
      <w:r w:rsidRPr="004F3160">
        <w:rPr>
          <w:rFonts w:ascii="Segoe UI" w:hAnsi="Segoe UI" w:cs="Segoe UI"/>
        </w:rPr>
        <w:t xml:space="preserve"> an improved understanding of A</w:t>
      </w:r>
      <w:r>
        <w:rPr>
          <w:rFonts w:ascii="Segoe UI" w:hAnsi="Segoe UI" w:cs="Segoe UI"/>
        </w:rPr>
        <w:t>mbulance Victoria’s</w:t>
      </w:r>
      <w:r w:rsidRPr="004F3160">
        <w:rPr>
          <w:rFonts w:ascii="Segoe UI" w:hAnsi="Segoe UI" w:cs="Segoe UI"/>
        </w:rPr>
        <w:t xml:space="preserve">’ </w:t>
      </w:r>
      <w:r>
        <w:rPr>
          <w:rFonts w:ascii="Segoe UI" w:hAnsi="Segoe UI" w:cs="Segoe UI"/>
        </w:rPr>
        <w:t>flexible work</w:t>
      </w:r>
      <w:r w:rsidRPr="004F3160">
        <w:rPr>
          <w:rFonts w:ascii="Segoe UI" w:hAnsi="Segoe UI" w:cs="Segoe UI"/>
        </w:rPr>
        <w:t xml:space="preserve"> obligations. Rather, the Commission consistently heard from the workforce that </w:t>
      </w:r>
      <w:r>
        <w:rPr>
          <w:rFonts w:ascii="Segoe UI" w:hAnsi="Segoe UI" w:cs="Segoe UI"/>
        </w:rPr>
        <w:t>staff are still appointed to</w:t>
      </w:r>
      <w:r w:rsidRPr="004F3160">
        <w:rPr>
          <w:rFonts w:ascii="Segoe UI" w:hAnsi="Segoe UI" w:cs="Segoe UI"/>
        </w:rPr>
        <w:t xml:space="preserve"> leadership roles without </w:t>
      </w:r>
      <w:r>
        <w:rPr>
          <w:rFonts w:ascii="Segoe UI" w:hAnsi="Segoe UI" w:cs="Segoe UI"/>
        </w:rPr>
        <w:t xml:space="preserve">adequate </w:t>
      </w:r>
      <w:r w:rsidRPr="004F3160">
        <w:rPr>
          <w:rFonts w:ascii="Segoe UI" w:hAnsi="Segoe UI" w:cs="Segoe UI"/>
        </w:rPr>
        <w:t>training or onboarding. Currently, training focuses largely on ‘softer’ leadership skills, rather than ‘transactional’ skills like negotiating a</w:t>
      </w:r>
      <w:r>
        <w:rPr>
          <w:rFonts w:ascii="Segoe UI" w:hAnsi="Segoe UI" w:cs="Segoe UI"/>
        </w:rPr>
        <w:t>n</w:t>
      </w:r>
      <w:r w:rsidRPr="004F3160">
        <w:rPr>
          <w:rFonts w:ascii="Segoe UI" w:hAnsi="Segoe UI" w:cs="Segoe UI"/>
        </w:rPr>
        <w:t xml:space="preserve"> </w:t>
      </w:r>
      <w:r>
        <w:rPr>
          <w:rFonts w:ascii="Segoe UI" w:hAnsi="Segoe UI" w:cs="Segoe UI"/>
        </w:rPr>
        <w:t>FWA</w:t>
      </w:r>
      <w:r w:rsidRPr="004F3160">
        <w:rPr>
          <w:rFonts w:ascii="Segoe UI" w:hAnsi="Segoe UI" w:cs="Segoe UI"/>
        </w:rPr>
        <w:t xml:space="preserve"> or undertaking a clinical review.</w:t>
      </w:r>
      <w:r>
        <w:rPr>
          <w:rFonts w:ascii="Segoe UI" w:hAnsi="Segoe UI" w:cs="Segoe UI"/>
        </w:rPr>
        <w:t xml:space="preserve"> </w:t>
      </w:r>
      <w:r w:rsidRPr="004F3160">
        <w:rPr>
          <w:rFonts w:ascii="Segoe UI" w:hAnsi="Segoe UI" w:cs="Segoe UI"/>
        </w:rPr>
        <w:t>This is compounded by the frequency of acting managerial roles</w:t>
      </w:r>
      <w:r>
        <w:rPr>
          <w:rFonts w:ascii="Segoe UI" w:hAnsi="Segoe UI" w:cs="Segoe UI"/>
        </w:rPr>
        <w:t>,</w:t>
      </w:r>
      <w:r w:rsidRPr="004F3160">
        <w:rPr>
          <w:rFonts w:ascii="Segoe UI" w:hAnsi="Segoe UI" w:cs="Segoe UI"/>
        </w:rPr>
        <w:t xml:space="preserve"> which make mentoring and </w:t>
      </w:r>
      <w:r w:rsidRPr="001C29C9">
        <w:rPr>
          <w:rFonts w:ascii="Segoe UI" w:hAnsi="Segoe UI" w:cs="Segoe UI"/>
        </w:rPr>
        <w:t>training difficult to sustain.</w:t>
      </w:r>
    </w:p>
    <w:p w14:paraId="6ECC2233" w14:textId="0F399248" w:rsidR="001C29C9" w:rsidRPr="001C29C9" w:rsidRDefault="001C29C9" w:rsidP="001C29C9">
      <w:pPr>
        <w:pStyle w:val="Quote"/>
        <w:rPr>
          <w:rFonts w:ascii="Segoe UI" w:hAnsi="Segoe UI" w:cs="Segoe UI"/>
          <w:color w:val="auto"/>
        </w:rPr>
      </w:pPr>
      <w:r w:rsidRPr="001C29C9">
        <w:rPr>
          <w:rFonts w:ascii="Segoe UI" w:hAnsi="Segoe UI" w:cs="Segoe UI"/>
          <w:color w:val="auto"/>
        </w:rPr>
        <w:t xml:space="preserve">It's </w:t>
      </w:r>
      <w:proofErr w:type="gramStart"/>
      <w:r w:rsidRPr="001C29C9">
        <w:rPr>
          <w:rFonts w:ascii="Segoe UI" w:hAnsi="Segoe UI" w:cs="Segoe UI"/>
          <w:color w:val="auto"/>
        </w:rPr>
        <w:t>really hard</w:t>
      </w:r>
      <w:proofErr w:type="gramEnd"/>
      <w:r w:rsidRPr="001C29C9">
        <w:rPr>
          <w:rFonts w:ascii="Segoe UI" w:hAnsi="Segoe UI" w:cs="Segoe UI"/>
          <w:color w:val="auto"/>
        </w:rPr>
        <w:t xml:space="preserve">. You’re trying to coach and mentor people in that leadership role and how to have those difficult conversations, if you like, how to set up teams, how to negotiate FWAs. But the next month they're gone and you're starting again with somebody new. So, you’ve got no continuity of that training – I think that part of it's </w:t>
      </w:r>
      <w:proofErr w:type="gramStart"/>
      <w:r w:rsidRPr="001C29C9">
        <w:rPr>
          <w:rFonts w:ascii="Segoe UI" w:hAnsi="Segoe UI" w:cs="Segoe UI"/>
          <w:color w:val="auto"/>
        </w:rPr>
        <w:t>really important</w:t>
      </w:r>
      <w:proofErr w:type="gramEnd"/>
      <w:r w:rsidRPr="001C29C9">
        <w:rPr>
          <w:rFonts w:ascii="Segoe UI" w:hAnsi="Segoe UI" w:cs="Segoe UI"/>
          <w:color w:val="auto"/>
        </w:rPr>
        <w:t xml:space="preserve">, right. You can do your online learning management thing, your ‘tick the box’ type training, and this is your definition type training, but it needs to be ongoing coaching-type training, or education, if you like. And that's </w:t>
      </w:r>
      <w:proofErr w:type="gramStart"/>
      <w:r w:rsidRPr="001C29C9">
        <w:rPr>
          <w:rFonts w:ascii="Segoe UI" w:hAnsi="Segoe UI" w:cs="Segoe UI"/>
          <w:color w:val="auto"/>
        </w:rPr>
        <w:t>really difficult</w:t>
      </w:r>
      <w:proofErr w:type="gramEnd"/>
      <w:r w:rsidRPr="001C29C9">
        <w:rPr>
          <w:rFonts w:ascii="Segoe UI" w:hAnsi="Segoe UI" w:cs="Segoe UI"/>
          <w:color w:val="auto"/>
        </w:rPr>
        <w:t xml:space="preserve"> at the moment in that environment.</w:t>
      </w:r>
    </w:p>
    <w:p w14:paraId="2848E149" w14:textId="1DCEA000" w:rsidR="001C29C9" w:rsidRPr="001C29C9" w:rsidRDefault="001C29C9" w:rsidP="001C29C9">
      <w:pPr>
        <w:pStyle w:val="Quote"/>
        <w:rPr>
          <w:rFonts w:ascii="Segoe UI" w:hAnsi="Segoe UI" w:cs="Segoe UI"/>
          <w:color w:val="auto"/>
        </w:rPr>
      </w:pPr>
      <w:r w:rsidRPr="001C29C9">
        <w:rPr>
          <w:rFonts w:ascii="Segoe UI" w:hAnsi="Segoe UI" w:cs="Segoe UI"/>
          <w:color w:val="auto"/>
        </w:rPr>
        <w:t>Participant</w:t>
      </w:r>
    </w:p>
    <w:p w14:paraId="0EF77095" w14:textId="77777777" w:rsidR="001C29C9" w:rsidRPr="007B461F" w:rsidRDefault="001C29C9" w:rsidP="001C29C9">
      <w:pPr>
        <w:spacing w:line="276" w:lineRule="auto"/>
        <w:rPr>
          <w:rStyle w:val="normaltextrun"/>
          <w:rFonts w:ascii="Segoe UI" w:hAnsi="Segoe UI" w:cs="Segoe UI"/>
        </w:rPr>
      </w:pPr>
      <w:r w:rsidRPr="004F3160">
        <w:rPr>
          <w:rStyle w:val="normaltextrun"/>
          <w:rFonts w:ascii="Segoe UI" w:hAnsi="Segoe UI" w:cs="Segoe UI"/>
        </w:rPr>
        <w:lastRenderedPageBreak/>
        <w:t xml:space="preserve">A workplace </w:t>
      </w:r>
      <w:r w:rsidRPr="00CE02E7">
        <w:t>where</w:t>
      </w:r>
      <w:r w:rsidRPr="004F3160">
        <w:rPr>
          <w:rStyle w:val="normaltextrun"/>
          <w:rFonts w:ascii="Segoe UI" w:hAnsi="Segoe UI" w:cs="Segoe UI"/>
        </w:rPr>
        <w:t xml:space="preserve"> leaders consistently model the organisation’s values through reliable, measured and informed approaches to management activities is key to fostering a culture of prevention at Ambulance Victoria. See </w:t>
      </w:r>
      <w:r w:rsidRPr="003629D9">
        <w:rPr>
          <w:rStyle w:val="normaltextrun"/>
          <w:rFonts w:ascii="Segoe UI" w:hAnsi="Segoe UI" w:cs="Segoe UI"/>
        </w:rPr>
        <w:t xml:space="preserve">Reform Enabler: Culture of Prevention. </w:t>
      </w:r>
    </w:p>
    <w:p w14:paraId="45A6CD69" w14:textId="77777777" w:rsidR="001C29C9" w:rsidRPr="004F3160" w:rsidRDefault="001C29C9" w:rsidP="001C29C9">
      <w:pPr>
        <w:pStyle w:val="paragraph"/>
        <w:rPr>
          <w:rStyle w:val="normaltextrun"/>
          <w:rFonts w:ascii="Segoe UI" w:eastAsiaTheme="majorEastAsia" w:hAnsi="Segoe UI" w:cs="Segoe UI"/>
          <w:b/>
          <w:bCs/>
          <w:sz w:val="22"/>
          <w:szCs w:val="22"/>
        </w:rPr>
      </w:pPr>
      <w:r w:rsidRPr="004F3160">
        <w:rPr>
          <w:rStyle w:val="normaltextrun"/>
          <w:rFonts w:ascii="Segoe UI" w:eastAsiaTheme="majorEastAsia" w:hAnsi="Segoe UI" w:cs="Segoe UI"/>
          <w:b/>
          <w:bCs/>
          <w:sz w:val="22"/>
          <w:szCs w:val="22"/>
        </w:rPr>
        <w:t>Ambulance Victoria has made limited progress in embedding flexibility content into induction and training for graduate paramedics and new employees</w:t>
      </w:r>
    </w:p>
    <w:p w14:paraId="2B230159" w14:textId="77777777" w:rsidR="001C29C9" w:rsidRPr="004F3160" w:rsidRDefault="001C29C9" w:rsidP="001C29C9">
      <w:pPr>
        <w:spacing w:line="276" w:lineRule="auto"/>
        <w:rPr>
          <w:rStyle w:val="normaltextrun"/>
          <w:rFonts w:ascii="Segoe UI" w:eastAsiaTheme="majorEastAsia" w:hAnsi="Segoe UI" w:cs="Segoe UI"/>
        </w:rPr>
      </w:pPr>
      <w:r w:rsidRPr="004F3160">
        <w:rPr>
          <w:rStyle w:val="normaltextrun"/>
          <w:rFonts w:ascii="Segoe UI" w:eastAsiaTheme="majorEastAsia" w:hAnsi="Segoe UI" w:cs="Segoe UI"/>
        </w:rPr>
        <w:t xml:space="preserve">The Commission </w:t>
      </w:r>
      <w:r w:rsidRPr="00D30E5E">
        <w:rPr>
          <w:rStyle w:val="normaltextrun"/>
          <w:rFonts w:ascii="Segoe UI" w:hAnsi="Segoe UI" w:cs="Segoe UI"/>
        </w:rPr>
        <w:t>found</w:t>
      </w:r>
      <w:r w:rsidRPr="004F3160">
        <w:rPr>
          <w:rStyle w:val="normaltextrun"/>
          <w:rFonts w:ascii="Segoe UI" w:eastAsiaTheme="majorEastAsia" w:hAnsi="Segoe UI" w:cs="Segoe UI"/>
        </w:rPr>
        <w:t xml:space="preserve"> that new starters at Ambulance Victoria are required to complete a probation check-in process and undergo induction training. </w:t>
      </w:r>
      <w:r>
        <w:rPr>
          <w:rStyle w:val="normaltextrun"/>
          <w:rFonts w:ascii="Segoe UI" w:eastAsiaTheme="majorEastAsia" w:hAnsi="Segoe UI" w:cs="Segoe UI"/>
        </w:rPr>
        <w:t>Alt</w:t>
      </w:r>
      <w:r w:rsidRPr="004F3160">
        <w:rPr>
          <w:rStyle w:val="normaltextrun"/>
          <w:rFonts w:ascii="Segoe UI" w:eastAsiaTheme="majorEastAsia" w:hAnsi="Segoe UI" w:cs="Segoe UI"/>
        </w:rPr>
        <w:t>hough requested</w:t>
      </w:r>
      <w:r>
        <w:rPr>
          <w:rStyle w:val="normaltextrun"/>
          <w:rFonts w:ascii="Segoe UI" w:eastAsiaTheme="majorEastAsia" w:hAnsi="Segoe UI" w:cs="Segoe UI"/>
        </w:rPr>
        <w:t xml:space="preserve"> during the Progress Evaluation Audit</w:t>
      </w:r>
      <w:r w:rsidRPr="004F3160">
        <w:rPr>
          <w:rStyle w:val="normaltextrun"/>
          <w:rFonts w:ascii="Segoe UI" w:eastAsiaTheme="majorEastAsia" w:hAnsi="Segoe UI" w:cs="Segoe UI"/>
        </w:rPr>
        <w:t xml:space="preserve">, no information was provided to the Commission by Ambulance Victoria to show that </w:t>
      </w:r>
      <w:r>
        <w:rPr>
          <w:rStyle w:val="normaltextrun"/>
          <w:rFonts w:ascii="Segoe UI" w:eastAsiaTheme="majorEastAsia" w:hAnsi="Segoe UI" w:cs="Segoe UI"/>
        </w:rPr>
        <w:t>flexibility</w:t>
      </w:r>
      <w:r w:rsidRPr="004F3160">
        <w:rPr>
          <w:rStyle w:val="normaltextrun"/>
          <w:rFonts w:ascii="Segoe UI" w:eastAsiaTheme="majorEastAsia" w:hAnsi="Segoe UI" w:cs="Segoe UI"/>
        </w:rPr>
        <w:t xml:space="preserve"> content has been incorporated into the probation check</w:t>
      </w:r>
      <w:r>
        <w:rPr>
          <w:rStyle w:val="normaltextrun"/>
          <w:rFonts w:ascii="Segoe UI" w:eastAsiaTheme="majorEastAsia" w:hAnsi="Segoe UI" w:cs="Segoe UI"/>
        </w:rPr>
        <w:t>-</w:t>
      </w:r>
      <w:r w:rsidRPr="004F3160">
        <w:rPr>
          <w:rStyle w:val="normaltextrun"/>
          <w:rFonts w:ascii="Segoe UI" w:eastAsiaTheme="majorEastAsia" w:hAnsi="Segoe UI" w:cs="Segoe UI"/>
        </w:rPr>
        <w:t>in process or any other induction training for graduate paramedics and new employees.</w:t>
      </w:r>
    </w:p>
    <w:p w14:paraId="78F782C1" w14:textId="77777777" w:rsidR="001C29C9" w:rsidRPr="004F3160" w:rsidRDefault="001C29C9" w:rsidP="001C29C9">
      <w:pPr>
        <w:pStyle w:val="paragraph"/>
        <w:rPr>
          <w:rStyle w:val="normaltextrun"/>
          <w:rFonts w:ascii="Segoe UI" w:eastAsiaTheme="majorEastAsia" w:hAnsi="Segoe UI" w:cs="Segoe UI"/>
          <w:b/>
          <w:bCs/>
          <w:sz w:val="22"/>
          <w:szCs w:val="22"/>
        </w:rPr>
      </w:pPr>
      <w:r w:rsidRPr="004F3160">
        <w:rPr>
          <w:rStyle w:val="normaltextrun"/>
          <w:rFonts w:ascii="Segoe UI" w:eastAsiaTheme="majorEastAsia" w:hAnsi="Segoe UI" w:cs="Segoe UI"/>
          <w:b/>
          <w:bCs/>
          <w:sz w:val="22"/>
          <w:szCs w:val="22"/>
        </w:rPr>
        <w:t>Ambulance Victoria has buil</w:t>
      </w:r>
      <w:r>
        <w:rPr>
          <w:rStyle w:val="normaltextrun"/>
          <w:rFonts w:ascii="Segoe UI" w:eastAsiaTheme="majorEastAsia" w:hAnsi="Segoe UI" w:cs="Segoe UI"/>
          <w:b/>
          <w:bCs/>
          <w:sz w:val="22"/>
          <w:szCs w:val="22"/>
        </w:rPr>
        <w:t>t some</w:t>
      </w:r>
      <w:r w:rsidRPr="004F3160">
        <w:rPr>
          <w:rStyle w:val="normaltextrun"/>
          <w:rFonts w:ascii="Segoe UI" w:eastAsiaTheme="majorEastAsia" w:hAnsi="Segoe UI" w:cs="Segoe UI"/>
          <w:b/>
          <w:bCs/>
          <w:sz w:val="22"/>
          <w:szCs w:val="22"/>
        </w:rPr>
        <w:t xml:space="preserve"> manager knowledge and capability </w:t>
      </w:r>
      <w:r>
        <w:rPr>
          <w:rStyle w:val="normaltextrun"/>
          <w:rFonts w:ascii="Segoe UI" w:eastAsiaTheme="majorEastAsia" w:hAnsi="Segoe UI" w:cs="Segoe UI"/>
          <w:b/>
          <w:bCs/>
          <w:sz w:val="22"/>
          <w:szCs w:val="22"/>
        </w:rPr>
        <w:t xml:space="preserve">on </w:t>
      </w:r>
      <w:r w:rsidRPr="004F3160">
        <w:rPr>
          <w:rStyle w:val="normaltextrun"/>
          <w:rFonts w:ascii="Segoe UI" w:eastAsiaTheme="majorEastAsia" w:hAnsi="Segoe UI" w:cs="Segoe UI"/>
          <w:b/>
          <w:bCs/>
          <w:sz w:val="22"/>
          <w:szCs w:val="22"/>
        </w:rPr>
        <w:t>flexibility through resources</w:t>
      </w:r>
      <w:r>
        <w:rPr>
          <w:rStyle w:val="normaltextrun"/>
          <w:rFonts w:ascii="Segoe UI" w:eastAsiaTheme="majorEastAsia" w:hAnsi="Segoe UI" w:cs="Segoe UI"/>
          <w:b/>
          <w:bCs/>
          <w:sz w:val="22"/>
          <w:szCs w:val="22"/>
        </w:rPr>
        <w:t>,</w:t>
      </w:r>
      <w:r w:rsidRPr="004F3160">
        <w:rPr>
          <w:rStyle w:val="normaltextrun"/>
          <w:rFonts w:ascii="Segoe UI" w:eastAsiaTheme="majorEastAsia" w:hAnsi="Segoe UI" w:cs="Segoe UI"/>
          <w:b/>
          <w:bCs/>
          <w:sz w:val="22"/>
          <w:szCs w:val="22"/>
        </w:rPr>
        <w:t xml:space="preserve"> but has not progressed key performance indicators</w:t>
      </w:r>
    </w:p>
    <w:p w14:paraId="4A6014A2" w14:textId="77777777" w:rsidR="001C29C9" w:rsidRPr="004F3160" w:rsidRDefault="001C29C9" w:rsidP="001C29C9">
      <w:pPr>
        <w:spacing w:line="276" w:lineRule="auto"/>
        <w:rPr>
          <w:rStyle w:val="normaltextrun"/>
          <w:rFonts w:ascii="Segoe UI" w:eastAsiaTheme="majorEastAsia" w:hAnsi="Segoe UI" w:cs="Segoe UI"/>
        </w:rPr>
      </w:pPr>
      <w:r w:rsidRPr="004F3160">
        <w:rPr>
          <w:rStyle w:val="normaltextrun"/>
          <w:rFonts w:ascii="Segoe UI" w:eastAsiaTheme="majorEastAsia" w:hAnsi="Segoe UI" w:cs="Segoe UI"/>
        </w:rPr>
        <w:t xml:space="preserve">Ambulance Victoria </w:t>
      </w:r>
      <w:r w:rsidRPr="00D30E5E">
        <w:rPr>
          <w:rStyle w:val="normaltextrun"/>
          <w:rFonts w:ascii="Segoe UI" w:hAnsi="Segoe UI" w:cs="Segoe UI"/>
        </w:rPr>
        <w:t>piloted</w:t>
      </w:r>
      <w:r w:rsidRPr="004F3160">
        <w:rPr>
          <w:rStyle w:val="normaltextrun"/>
          <w:rFonts w:ascii="Segoe UI" w:eastAsiaTheme="majorEastAsia" w:hAnsi="Segoe UI" w:cs="Segoe UI"/>
        </w:rPr>
        <w:t xml:space="preserve"> the Managers</w:t>
      </w:r>
      <w:r>
        <w:rPr>
          <w:rStyle w:val="normaltextrun"/>
          <w:rFonts w:ascii="Segoe UI" w:eastAsiaTheme="majorEastAsia" w:hAnsi="Segoe UI" w:cs="Segoe UI"/>
        </w:rPr>
        <w:t>’</w:t>
      </w:r>
      <w:r w:rsidRPr="004F3160">
        <w:rPr>
          <w:rStyle w:val="normaltextrun"/>
          <w:rFonts w:ascii="Segoe UI" w:eastAsiaTheme="majorEastAsia" w:hAnsi="Segoe UI" w:cs="Segoe UI"/>
        </w:rPr>
        <w:t xml:space="preserve"> Toolkit</w:t>
      </w:r>
      <w:r>
        <w:rPr>
          <w:rStyle w:val="normaltextrun"/>
          <w:rFonts w:ascii="Segoe UI" w:eastAsiaTheme="majorEastAsia" w:hAnsi="Segoe UI" w:cs="Segoe UI"/>
        </w:rPr>
        <w:t>,</w:t>
      </w:r>
      <w:r w:rsidRPr="004F3160">
        <w:rPr>
          <w:rStyle w:val="normaltextrun"/>
          <w:rFonts w:ascii="Segoe UI" w:eastAsiaTheme="majorEastAsia" w:hAnsi="Segoe UI" w:cs="Segoe UI"/>
        </w:rPr>
        <w:t xml:space="preserve"> which includes a guide for managers on completing internal </w:t>
      </w:r>
      <w:r>
        <w:rPr>
          <w:rStyle w:val="normaltextrun"/>
          <w:rFonts w:ascii="Segoe UI" w:eastAsiaTheme="majorEastAsia" w:hAnsi="Segoe UI" w:cs="Segoe UI"/>
        </w:rPr>
        <w:t>FWA</w:t>
      </w:r>
      <w:r w:rsidRPr="004F3160">
        <w:rPr>
          <w:rStyle w:val="normaltextrun"/>
          <w:rFonts w:ascii="Segoe UI" w:eastAsiaTheme="majorEastAsia" w:hAnsi="Segoe UI" w:cs="Segoe UI"/>
        </w:rPr>
        <w:t xml:space="preserve"> processes. This guide includes reference to ‘Equal Employment Opportunity legislation’. This resource does not include or reference training.</w:t>
      </w:r>
    </w:p>
    <w:p w14:paraId="630461B1" w14:textId="77777777" w:rsidR="001C29C9" w:rsidRPr="004F3160" w:rsidRDefault="001C29C9" w:rsidP="001C29C9">
      <w:pPr>
        <w:spacing w:line="276" w:lineRule="auto"/>
        <w:rPr>
          <w:rStyle w:val="normaltextrun"/>
          <w:rFonts w:ascii="Segoe UI" w:eastAsiaTheme="majorEastAsia" w:hAnsi="Segoe UI" w:cs="Segoe UI"/>
        </w:rPr>
      </w:pPr>
      <w:r w:rsidRPr="004F3160">
        <w:rPr>
          <w:rStyle w:val="normaltextrun"/>
          <w:rFonts w:ascii="Segoe UI" w:eastAsiaTheme="majorEastAsia" w:hAnsi="Segoe UI" w:cs="Segoe UI"/>
        </w:rPr>
        <w:t xml:space="preserve">The Commission did not find any </w:t>
      </w:r>
      <w:r w:rsidRPr="00CD4B14">
        <w:rPr>
          <w:rStyle w:val="normaltextrun"/>
          <w:rFonts w:ascii="Segoe UI" w:hAnsi="Segoe UI" w:cs="Segoe UI"/>
        </w:rPr>
        <w:t>evidence</w:t>
      </w:r>
      <w:r w:rsidRPr="004F3160">
        <w:rPr>
          <w:rStyle w:val="normaltextrun"/>
          <w:rFonts w:ascii="Segoe UI" w:eastAsiaTheme="majorEastAsia" w:hAnsi="Segoe UI" w:cs="Segoe UI"/>
        </w:rPr>
        <w:t xml:space="preserve"> that workplace flexibility </w:t>
      </w:r>
      <w:r>
        <w:rPr>
          <w:rStyle w:val="normaltextrun"/>
          <w:rFonts w:ascii="Segoe UI" w:eastAsiaTheme="majorEastAsia" w:hAnsi="Segoe UI" w:cs="Segoe UI"/>
        </w:rPr>
        <w:t>KPI</w:t>
      </w:r>
      <w:r w:rsidRPr="004F3160">
        <w:rPr>
          <w:rStyle w:val="normaltextrun"/>
          <w:rFonts w:ascii="Segoe UI" w:eastAsiaTheme="majorEastAsia" w:hAnsi="Segoe UI" w:cs="Segoe UI"/>
        </w:rPr>
        <w:t>s are in place for managers.</w:t>
      </w:r>
      <w:r>
        <w:rPr>
          <w:rStyle w:val="normaltextrun"/>
          <w:rFonts w:ascii="Segoe UI" w:eastAsiaTheme="majorEastAsia" w:hAnsi="Segoe UI" w:cs="Segoe UI"/>
        </w:rPr>
        <w:t xml:space="preserve"> </w:t>
      </w:r>
    </w:p>
    <w:p w14:paraId="3A24B125" w14:textId="77777777" w:rsidR="001C29C9" w:rsidRPr="004F3160" w:rsidRDefault="001C29C9" w:rsidP="001C29C9">
      <w:pPr>
        <w:pStyle w:val="Heading3"/>
      </w:pPr>
      <w:bookmarkStart w:id="14" w:name="_Toc178686534"/>
      <w:bookmarkStart w:id="15" w:name="_Toc184117747"/>
      <w:bookmarkStart w:id="16" w:name="_Toc184136182"/>
      <w:r w:rsidRPr="004F3160">
        <w:t>Progress in achieving change</w:t>
      </w:r>
      <w:bookmarkEnd w:id="14"/>
      <w:bookmarkEnd w:id="15"/>
      <w:bookmarkEnd w:id="16"/>
    </w:p>
    <w:p w14:paraId="2CACBD39" w14:textId="77777777" w:rsidR="001C29C9" w:rsidRPr="004F3160" w:rsidRDefault="001C29C9" w:rsidP="001C29C9">
      <w:pPr>
        <w:pStyle w:val="NoSpacing"/>
        <w:jc w:val="center"/>
        <w:rPr>
          <w:rFonts w:ascii="Segoe UI" w:hAnsi="Segoe UI" w:cs="Segoe UI"/>
        </w:rPr>
      </w:pPr>
      <w:r w:rsidRPr="004F3160">
        <w:rPr>
          <w:rFonts w:ascii="Segoe UI" w:hAnsi="Segoe UI" w:cs="Segoe UI"/>
          <w:noProof/>
        </w:rPr>
        <w:drawing>
          <wp:inline distT="0" distB="0" distL="0" distR="0" wp14:anchorId="39B273E5" wp14:editId="0E14D809">
            <wp:extent cx="1972800" cy="1980000"/>
            <wp:effectExtent l="0" t="0" r="8890" b="1270"/>
            <wp:docPr id="1422399583" name="Picture 1" descr="A circular graphic depicting the Commission's assessment that implementation of this recommendation is not yet commenc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99583" name="Picture 1" descr="A circular graphic depicting the Commission's assessment that implementation of this recommendation is not yet commenced. "/>
                    <pic:cNvPicPr/>
                  </pic:nvPicPr>
                  <pic:blipFill>
                    <a:blip r:embed="rId8"/>
                    <a:stretch>
                      <a:fillRect/>
                    </a:stretch>
                  </pic:blipFill>
                  <pic:spPr>
                    <a:xfrm>
                      <a:off x="0" y="0"/>
                      <a:ext cx="1972800" cy="1980000"/>
                    </a:xfrm>
                    <a:prstGeom prst="rect">
                      <a:avLst/>
                    </a:prstGeom>
                  </pic:spPr>
                </pic:pic>
              </a:graphicData>
            </a:graphic>
          </wp:inline>
        </w:drawing>
      </w:r>
    </w:p>
    <w:p w14:paraId="79E3F2F1" w14:textId="77777777" w:rsidR="001C29C9" w:rsidRPr="00292F28" w:rsidRDefault="001C29C9" w:rsidP="001C29C9">
      <w:pPr>
        <w:spacing w:line="276" w:lineRule="auto"/>
        <w:rPr>
          <w:rFonts w:ascii="Segoe UI" w:hAnsi="Segoe UI" w:cs="Segoe UI"/>
          <w:i/>
          <w:iCs/>
        </w:rPr>
      </w:pPr>
      <w:r w:rsidRPr="004F3160">
        <w:rPr>
          <w:rFonts w:ascii="Segoe UI" w:hAnsi="Segoe UI" w:cs="Segoe UI"/>
        </w:rPr>
        <w:t xml:space="preserve">The </w:t>
      </w:r>
      <w:r w:rsidRPr="00CD4B14">
        <w:rPr>
          <w:rFonts w:ascii="Segoe UI" w:hAnsi="Segoe UI" w:cs="Segoe UI"/>
        </w:rPr>
        <w:t>Commission</w:t>
      </w:r>
      <w:r w:rsidRPr="004F3160">
        <w:rPr>
          <w:rFonts w:ascii="Segoe UI" w:hAnsi="Segoe UI" w:cs="Segoe UI"/>
        </w:rPr>
        <w:t xml:space="preserve"> </w:t>
      </w:r>
      <w:r>
        <w:rPr>
          <w:rFonts w:ascii="Segoe UI" w:hAnsi="Segoe UI" w:cs="Segoe UI"/>
        </w:rPr>
        <w:t xml:space="preserve">has assessed </w:t>
      </w:r>
      <w:r w:rsidRPr="004F3160">
        <w:rPr>
          <w:rFonts w:ascii="Segoe UI" w:hAnsi="Segoe UI" w:cs="Segoe UI"/>
        </w:rPr>
        <w:t>implementation of this recommendation as not yet commenced. The Commission understands this is to begin in 2025.</w:t>
      </w:r>
    </w:p>
    <w:p w14:paraId="38EC1371" w14:textId="77777777" w:rsidR="001C29C9" w:rsidRPr="004F3160" w:rsidRDefault="001C29C9" w:rsidP="001C29C9">
      <w:pPr>
        <w:pStyle w:val="Heading2"/>
      </w:pPr>
      <w:bookmarkStart w:id="17" w:name="_Toc178686535"/>
      <w:bookmarkStart w:id="18" w:name="_Toc184117748"/>
      <w:bookmarkStart w:id="19" w:name="_Toc184136183"/>
      <w:r w:rsidRPr="004F3160">
        <w:t>What measures are still needed?</w:t>
      </w:r>
      <w:bookmarkEnd w:id="17"/>
      <w:bookmarkEnd w:id="18"/>
      <w:bookmarkEnd w:id="19"/>
    </w:p>
    <w:p w14:paraId="53B2B4AF" w14:textId="77777777" w:rsidR="001C29C9" w:rsidRPr="004F3160" w:rsidRDefault="001C29C9" w:rsidP="001C29C9">
      <w:pPr>
        <w:spacing w:line="276" w:lineRule="auto"/>
        <w:rPr>
          <w:rStyle w:val="normaltextrun"/>
          <w:rFonts w:ascii="Segoe UI" w:eastAsiaTheme="majorEastAsia" w:hAnsi="Segoe UI" w:cs="Segoe UI"/>
        </w:rPr>
      </w:pPr>
      <w:r w:rsidRPr="004F3160">
        <w:rPr>
          <w:rStyle w:val="normaltextrun"/>
          <w:rFonts w:ascii="Segoe UI" w:eastAsiaTheme="majorEastAsia" w:hAnsi="Segoe UI" w:cs="Segoe UI"/>
        </w:rPr>
        <w:t xml:space="preserve">As Ambulance Victoria </w:t>
      </w:r>
      <w:r w:rsidRPr="007C12AF">
        <w:rPr>
          <w:rStyle w:val="normaltextrun"/>
          <w:rFonts w:ascii="Segoe UI" w:eastAsiaTheme="majorEastAsia" w:hAnsi="Segoe UI" w:cs="Segoe UI"/>
        </w:rPr>
        <w:t>develops</w:t>
      </w:r>
      <w:r w:rsidRPr="004F3160">
        <w:rPr>
          <w:rStyle w:val="normaltextrun"/>
          <w:rFonts w:ascii="Segoe UI" w:eastAsiaTheme="majorEastAsia" w:hAnsi="Segoe UI" w:cs="Segoe UI"/>
        </w:rPr>
        <w:t xml:space="preserve"> its </w:t>
      </w:r>
      <w:r>
        <w:rPr>
          <w:rStyle w:val="normaltextrun"/>
          <w:rFonts w:ascii="Segoe UI" w:eastAsiaTheme="majorEastAsia" w:hAnsi="Segoe UI" w:cs="Segoe UI"/>
        </w:rPr>
        <w:t xml:space="preserve">workplace </w:t>
      </w:r>
      <w:r w:rsidRPr="004F3160">
        <w:rPr>
          <w:rStyle w:val="normaltextrun"/>
          <w:rFonts w:ascii="Segoe UI" w:eastAsiaTheme="majorEastAsia" w:hAnsi="Segoe UI" w:cs="Segoe UI"/>
        </w:rPr>
        <w:t xml:space="preserve">flexibility </w:t>
      </w:r>
      <w:r>
        <w:rPr>
          <w:rStyle w:val="normaltextrun"/>
          <w:rFonts w:ascii="Segoe UI" w:eastAsiaTheme="majorEastAsia" w:hAnsi="Segoe UI" w:cs="Segoe UI"/>
        </w:rPr>
        <w:t>strategy</w:t>
      </w:r>
      <w:r w:rsidRPr="004F3160">
        <w:rPr>
          <w:rStyle w:val="normaltextrun"/>
          <w:rFonts w:ascii="Segoe UI" w:eastAsiaTheme="majorEastAsia" w:hAnsi="Segoe UI" w:cs="Segoe UI"/>
        </w:rPr>
        <w:t xml:space="preserve">, </w:t>
      </w:r>
      <w:r>
        <w:rPr>
          <w:rStyle w:val="normaltextrun"/>
          <w:rFonts w:ascii="Segoe UI" w:eastAsiaTheme="majorEastAsia" w:hAnsi="Segoe UI" w:cs="Segoe UI"/>
        </w:rPr>
        <w:t xml:space="preserve">it should prioritise </w:t>
      </w:r>
      <w:r w:rsidRPr="004F3160">
        <w:rPr>
          <w:rStyle w:val="normaltextrun"/>
          <w:rFonts w:ascii="Segoe UI" w:eastAsiaTheme="majorEastAsia" w:hAnsi="Segoe UI" w:cs="Segoe UI"/>
        </w:rPr>
        <w:t xml:space="preserve">training for people managers, new staff and graduates to ensure they are aware of their rights and obligations under the </w:t>
      </w:r>
      <w:r w:rsidRPr="004F3160">
        <w:rPr>
          <w:rStyle w:val="normaltextrun"/>
          <w:rFonts w:ascii="Segoe UI" w:eastAsiaTheme="majorEastAsia" w:hAnsi="Segoe UI" w:cs="Segoe UI"/>
          <w:i/>
          <w:iCs/>
        </w:rPr>
        <w:t xml:space="preserve">Equal Opportunity Act 2010 </w:t>
      </w:r>
      <w:r w:rsidRPr="004F3160">
        <w:rPr>
          <w:rStyle w:val="normaltextrun"/>
          <w:rFonts w:ascii="Segoe UI" w:eastAsiaTheme="majorEastAsia" w:hAnsi="Segoe UI" w:cs="Segoe UI"/>
        </w:rPr>
        <w:t>(Vic). K</w:t>
      </w:r>
      <w:r>
        <w:rPr>
          <w:rStyle w:val="normaltextrun"/>
          <w:rFonts w:ascii="Segoe UI" w:eastAsiaTheme="majorEastAsia" w:hAnsi="Segoe UI" w:cs="Segoe UI"/>
        </w:rPr>
        <w:t>PI</w:t>
      </w:r>
      <w:r w:rsidRPr="004F3160">
        <w:rPr>
          <w:rStyle w:val="normaltextrun"/>
          <w:rFonts w:ascii="Segoe UI" w:eastAsiaTheme="majorEastAsia" w:hAnsi="Segoe UI" w:cs="Segoe UI"/>
        </w:rPr>
        <w:t xml:space="preserve">s for managers to formally incentivise and acknowledge inclusive leadership behaviour will ensure accountability </w:t>
      </w:r>
      <w:r>
        <w:rPr>
          <w:rStyle w:val="normaltextrun"/>
          <w:rFonts w:ascii="Segoe UI" w:eastAsiaTheme="majorEastAsia" w:hAnsi="Segoe UI" w:cs="Segoe UI"/>
        </w:rPr>
        <w:t xml:space="preserve">and </w:t>
      </w:r>
      <w:r w:rsidRPr="004F3160">
        <w:rPr>
          <w:rStyle w:val="normaltextrun"/>
          <w:rFonts w:ascii="Segoe UI" w:eastAsiaTheme="majorEastAsia" w:hAnsi="Segoe UI" w:cs="Segoe UI"/>
        </w:rPr>
        <w:t>demonstrat</w:t>
      </w:r>
      <w:r>
        <w:rPr>
          <w:rStyle w:val="normaltextrun"/>
          <w:rFonts w:ascii="Segoe UI" w:eastAsiaTheme="majorEastAsia" w:hAnsi="Segoe UI" w:cs="Segoe UI"/>
        </w:rPr>
        <w:t>e</w:t>
      </w:r>
      <w:r w:rsidRPr="004F3160">
        <w:rPr>
          <w:rStyle w:val="normaltextrun"/>
          <w:rFonts w:ascii="Segoe UI" w:eastAsiaTheme="majorEastAsia" w:hAnsi="Segoe UI" w:cs="Segoe UI"/>
        </w:rPr>
        <w:t xml:space="preserve"> the organisation’s commitment to workplace flexibility.</w:t>
      </w:r>
    </w:p>
    <w:p w14:paraId="09CA873A" w14:textId="77777777" w:rsidR="001C29C9" w:rsidRPr="003629D9" w:rsidRDefault="001C29C9" w:rsidP="001C29C9">
      <w:pPr>
        <w:spacing w:line="276" w:lineRule="auto"/>
        <w:rPr>
          <w:rStyle w:val="normaltextrun"/>
          <w:rFonts w:ascii="Segoe UI" w:eastAsiaTheme="majorEastAsia" w:hAnsi="Segoe UI" w:cs="Segoe UI"/>
        </w:rPr>
      </w:pPr>
      <w:r w:rsidRPr="003629D9">
        <w:rPr>
          <w:rStyle w:val="normaltextrun"/>
          <w:rFonts w:ascii="Segoe UI" w:eastAsiaTheme="majorEastAsia" w:hAnsi="Segoe UI" w:cs="Segoe UI"/>
        </w:rPr>
        <w:lastRenderedPageBreak/>
        <w:t xml:space="preserve">Consistent with Recommendation 28: Removing structural barries to career advancement and Recommendation 31: Implementing and tailoring the Think Flex First Framework, work to improve flexibility is a key enabler to improving career opportunities for people with protected characteristics requiring flexibility, including women and people with disability. See Reform Barrier: Flexibility and Reform Barrier: Archetypes – Diversity and Inclusion. </w:t>
      </w:r>
    </w:p>
    <w:p w14:paraId="2E6C2438" w14:textId="77777777" w:rsidR="006D056D" w:rsidRDefault="006D056D"/>
    <w:sectPr w:rsidR="006D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C9"/>
    <w:rsid w:val="001C29C9"/>
    <w:rsid w:val="001F5514"/>
    <w:rsid w:val="003629D9"/>
    <w:rsid w:val="006D056D"/>
    <w:rsid w:val="00A9616A"/>
    <w:rsid w:val="00D26D74"/>
    <w:rsid w:val="00D42594"/>
    <w:rsid w:val="00D83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DF50"/>
  <w15:chartTrackingRefBased/>
  <w15:docId w15:val="{CB89F011-5511-433B-956F-18A9091B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9C9"/>
  </w:style>
  <w:style w:type="paragraph" w:styleId="Heading1">
    <w:name w:val="heading 1"/>
    <w:basedOn w:val="Normal"/>
    <w:next w:val="Normal"/>
    <w:link w:val="Heading1Char"/>
    <w:qFormat/>
    <w:rsid w:val="001C29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C29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C29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9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9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9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9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9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9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9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C29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C29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9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9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9C9"/>
    <w:rPr>
      <w:rFonts w:eastAsiaTheme="majorEastAsia" w:cstheme="majorBidi"/>
      <w:color w:val="272727" w:themeColor="text1" w:themeTint="D8"/>
    </w:rPr>
  </w:style>
  <w:style w:type="paragraph" w:styleId="Title">
    <w:name w:val="Title"/>
    <w:basedOn w:val="Normal"/>
    <w:next w:val="Normal"/>
    <w:link w:val="TitleChar"/>
    <w:uiPriority w:val="10"/>
    <w:qFormat/>
    <w:rsid w:val="001C2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9C9"/>
    <w:pPr>
      <w:spacing w:before="160"/>
      <w:jc w:val="center"/>
    </w:pPr>
    <w:rPr>
      <w:i/>
      <w:iCs/>
      <w:color w:val="404040" w:themeColor="text1" w:themeTint="BF"/>
    </w:rPr>
  </w:style>
  <w:style w:type="character" w:customStyle="1" w:styleId="QuoteChar">
    <w:name w:val="Quote Char"/>
    <w:basedOn w:val="DefaultParagraphFont"/>
    <w:link w:val="Quote"/>
    <w:uiPriority w:val="29"/>
    <w:rsid w:val="001C29C9"/>
    <w:rPr>
      <w:i/>
      <w:iCs/>
      <w:color w:val="404040" w:themeColor="text1" w:themeTint="BF"/>
    </w:rPr>
  </w:style>
  <w:style w:type="paragraph" w:styleId="ListParagraph">
    <w:name w:val="List Paragraph"/>
    <w:aliases w:val="Bullet number"/>
    <w:basedOn w:val="Normal"/>
    <w:uiPriority w:val="99"/>
    <w:qFormat/>
    <w:rsid w:val="001C29C9"/>
    <w:pPr>
      <w:ind w:left="720"/>
      <w:contextualSpacing/>
    </w:pPr>
  </w:style>
  <w:style w:type="character" w:styleId="IntenseEmphasis">
    <w:name w:val="Intense Emphasis"/>
    <w:basedOn w:val="DefaultParagraphFont"/>
    <w:uiPriority w:val="21"/>
    <w:qFormat/>
    <w:rsid w:val="001C29C9"/>
    <w:rPr>
      <w:i/>
      <w:iCs/>
      <w:color w:val="0F4761" w:themeColor="accent1" w:themeShade="BF"/>
    </w:rPr>
  </w:style>
  <w:style w:type="paragraph" w:styleId="IntenseQuote">
    <w:name w:val="Intense Quote"/>
    <w:basedOn w:val="Normal"/>
    <w:next w:val="Normal"/>
    <w:link w:val="IntenseQuoteChar"/>
    <w:uiPriority w:val="30"/>
    <w:qFormat/>
    <w:rsid w:val="001C2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9C9"/>
    <w:rPr>
      <w:i/>
      <w:iCs/>
      <w:color w:val="0F4761" w:themeColor="accent1" w:themeShade="BF"/>
    </w:rPr>
  </w:style>
  <w:style w:type="character" w:styleId="IntenseReference">
    <w:name w:val="Intense Reference"/>
    <w:basedOn w:val="DefaultParagraphFont"/>
    <w:uiPriority w:val="32"/>
    <w:qFormat/>
    <w:rsid w:val="001C29C9"/>
    <w:rPr>
      <w:b/>
      <w:bCs/>
      <w:smallCaps/>
      <w:color w:val="0F4761" w:themeColor="accent1" w:themeShade="BF"/>
      <w:spacing w:val="5"/>
    </w:rPr>
  </w:style>
  <w:style w:type="paragraph" w:styleId="NoSpacing">
    <w:name w:val="No Spacing"/>
    <w:uiPriority w:val="1"/>
    <w:qFormat/>
    <w:rsid w:val="001C29C9"/>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1C29C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1C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8C0F1-1557-4508-A482-FA1315306104}">
  <ds:schemaRefs>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1DB47E6-A562-4905-B5B5-E81A5CD4357D}">
  <ds:schemaRefs>
    <ds:schemaRef ds:uri="http://schemas.microsoft.com/sharepoint/v3/contenttype/forms"/>
  </ds:schemaRefs>
</ds:datastoreItem>
</file>

<file path=customXml/itemProps3.xml><?xml version="1.0" encoding="utf-8"?>
<ds:datastoreItem xmlns:ds="http://schemas.openxmlformats.org/officeDocument/2006/customXml" ds:itemID="{DDEABF51-1735-47A6-B7B2-FDB40B1A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2025-01-07T23:35:00Z</dcterms:created>
  <dcterms:modified xsi:type="dcterms:W3CDTF">2025-01-08T01:07:00Z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